
<file path=[Content_Types].xml><?xml version="1.0" encoding="utf-8"?>
<Types xmlns="http://schemas.openxmlformats.org/package/2006/content-types">
  <Default Extension="emf" ContentType="image/x-emf"/>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35F5C2" w14:textId="69749395" w:rsidR="00D162A1" w:rsidRPr="008D3FC5" w:rsidRDefault="008D3FC5" w:rsidP="008D3FC5">
      <w:pPr>
        <w:jc w:val="center"/>
        <w:rPr>
          <w:sz w:val="32"/>
          <w:szCs w:val="32"/>
        </w:rPr>
      </w:pPr>
      <w:r w:rsidRPr="009869B1">
        <w:rPr>
          <w:sz w:val="32"/>
          <w:szCs w:val="32"/>
        </w:rPr>
        <w:t>The Ghost Collider</w:t>
      </w:r>
      <w:r w:rsidRPr="009869B1">
        <w:rPr>
          <w:sz w:val="32"/>
          <w:szCs w:val="32"/>
        </w:rPr>
        <w:br/>
        <w:t>An Innovative Higgs Factory</w:t>
      </w:r>
      <w:r w:rsidR="00D162A1" w:rsidRPr="009E6644">
        <w:t>*</w:t>
      </w:r>
    </w:p>
    <w:p w14:paraId="3D6A4B97" w14:textId="62F5B0F0" w:rsidR="008D3FC5" w:rsidRPr="008D3FC5" w:rsidRDefault="008D3FC5" w:rsidP="008D3FC5">
      <w:pPr>
        <w:ind w:left="360" w:right="360"/>
        <w:jc w:val="center"/>
        <w:rPr>
          <w:vertAlign w:val="superscript"/>
        </w:rPr>
      </w:pPr>
      <w:r w:rsidRPr="001707F0">
        <w:t>A</w:t>
      </w:r>
      <w:r w:rsidR="00221D8F">
        <w:t>.</w:t>
      </w:r>
      <w:r w:rsidRPr="001707F0">
        <w:t xml:space="preserve"> Hutton</w:t>
      </w:r>
      <w:r w:rsidRPr="001707F0">
        <w:rPr>
          <w:vertAlign w:val="superscript"/>
        </w:rPr>
        <w:t>1</w:t>
      </w:r>
      <w:r w:rsidRPr="001707F0">
        <w:t>, P</w:t>
      </w:r>
      <w:r w:rsidR="00CC368E">
        <w:t>.</w:t>
      </w:r>
      <w:r w:rsidRPr="001707F0">
        <w:t xml:space="preserve"> Williams</w:t>
      </w:r>
      <w:r w:rsidRPr="001707F0">
        <w:rPr>
          <w:vertAlign w:val="superscript"/>
        </w:rPr>
        <w:t xml:space="preserve"> 2</w:t>
      </w:r>
      <w:r w:rsidRPr="001707F0">
        <w:t xml:space="preserve">, </w:t>
      </w:r>
      <w:r w:rsidRPr="00A90AA3">
        <w:t>R</w:t>
      </w:r>
      <w:r w:rsidR="00CC368E">
        <w:t>.</w:t>
      </w:r>
      <w:r w:rsidRPr="00A90AA3">
        <w:t xml:space="preserve"> Apsimon</w:t>
      </w:r>
      <w:r w:rsidRPr="00A90AA3">
        <w:rPr>
          <w:vertAlign w:val="superscript"/>
        </w:rPr>
        <w:t>3</w:t>
      </w:r>
      <w:r w:rsidRPr="00A90AA3">
        <w:t xml:space="preserve">, </w:t>
      </w:r>
      <w:r>
        <w:t>B.R. Gamage</w:t>
      </w:r>
      <w:r>
        <w:rPr>
          <w:vertAlign w:val="superscript"/>
        </w:rPr>
        <w:t>1</w:t>
      </w:r>
      <w:r w:rsidRPr="00A90AA3">
        <w:t xml:space="preserve">, </w:t>
      </w:r>
      <w:r w:rsidR="00CC368E">
        <w:t>M.</w:t>
      </w:r>
      <w:r>
        <w:t xml:space="preserve"> Joshi</w:t>
      </w:r>
      <w:r w:rsidRPr="00A90AA3">
        <w:rPr>
          <w:vertAlign w:val="superscript"/>
        </w:rPr>
        <w:t>3</w:t>
      </w:r>
      <w:r w:rsidRPr="008D3FC5">
        <w:t>,</w:t>
      </w:r>
      <w:r>
        <w:t xml:space="preserve"> K</w:t>
      </w:r>
      <w:r w:rsidR="00CC368E">
        <w:t>.</w:t>
      </w:r>
      <w:r>
        <w:t xml:space="preserve"> Yokoya</w:t>
      </w:r>
      <w:r w:rsidRPr="008D3FC5">
        <w:rPr>
          <w:vertAlign w:val="superscript"/>
        </w:rPr>
        <w:t>4</w:t>
      </w:r>
    </w:p>
    <w:p w14:paraId="31E2BA72" w14:textId="77777777" w:rsidR="008D3FC5" w:rsidRDefault="008D3FC5" w:rsidP="008D3FC5">
      <w:pPr>
        <w:jc w:val="center"/>
      </w:pPr>
      <w:r w:rsidRPr="001707F0">
        <w:rPr>
          <w:vertAlign w:val="superscript"/>
        </w:rPr>
        <w:t>1</w:t>
      </w:r>
      <w:r w:rsidRPr="001707F0">
        <w:t>Jefferson Lab,</w:t>
      </w:r>
      <w:r>
        <w:t xml:space="preserve"> 12000 Jefferson Ave Newport News 23693, USA</w:t>
      </w:r>
    </w:p>
    <w:p w14:paraId="6217720A" w14:textId="77777777" w:rsidR="008D3FC5" w:rsidRDefault="008D3FC5" w:rsidP="008D3FC5">
      <w:pPr>
        <w:ind w:left="720"/>
        <w:jc w:val="center"/>
      </w:pPr>
      <w:r w:rsidRPr="001707F0">
        <w:rPr>
          <w:vertAlign w:val="superscript"/>
        </w:rPr>
        <w:t>2</w:t>
      </w:r>
      <w:r w:rsidRPr="001707F0">
        <w:t>STFC</w:t>
      </w:r>
      <w:r>
        <w:t xml:space="preserve">, </w:t>
      </w:r>
      <w:r w:rsidRPr="00FB3A42">
        <w:t>Accelerator Science and Technology Centre (</w:t>
      </w:r>
      <w:proofErr w:type="spellStart"/>
      <w:r w:rsidRPr="00FB3A42">
        <w:t>ASTeC</w:t>
      </w:r>
      <w:proofErr w:type="spellEnd"/>
      <w:r w:rsidRPr="00FB3A42">
        <w:t>)</w:t>
      </w:r>
      <w:r>
        <w:t xml:space="preserve"> </w:t>
      </w:r>
      <w:r w:rsidRPr="00FB3A42">
        <w:t>Daresbury, UK</w:t>
      </w:r>
    </w:p>
    <w:p w14:paraId="387EE68A" w14:textId="0247C580" w:rsidR="008D3FC5" w:rsidRDefault="008D3FC5" w:rsidP="008D3FC5">
      <w:pPr>
        <w:ind w:left="720"/>
        <w:jc w:val="center"/>
      </w:pPr>
      <w:r w:rsidRPr="008D3FC5">
        <w:rPr>
          <w:vertAlign w:val="superscript"/>
        </w:rPr>
        <w:t>3</w:t>
      </w:r>
      <w:r>
        <w:t>Lancaster University</w:t>
      </w:r>
      <w:r w:rsidRPr="00A90AA3">
        <w:t>, Lancaster, LA1 4YW, UK</w:t>
      </w:r>
    </w:p>
    <w:p w14:paraId="73A42ABB" w14:textId="35678AAE" w:rsidR="008D3FC5" w:rsidRDefault="008D3FC5" w:rsidP="008D3FC5">
      <w:pPr>
        <w:ind w:left="720"/>
        <w:jc w:val="center"/>
      </w:pPr>
      <w:r w:rsidRPr="008D3FC5">
        <w:rPr>
          <w:vertAlign w:val="superscript"/>
        </w:rPr>
        <w:t>4</w:t>
      </w:r>
      <w:r>
        <w:t>KEK, Tsukuba, Japan</w:t>
      </w:r>
    </w:p>
    <w:p w14:paraId="107EAB97" w14:textId="77777777" w:rsidR="003E3F97" w:rsidRDefault="003E3F97" w:rsidP="00653B25">
      <w:pPr>
        <w:pStyle w:val="JACoWAbstractHeading"/>
      </w:pPr>
    </w:p>
    <w:p w14:paraId="7E1D8E2A" w14:textId="77777777" w:rsidR="00EB5A45" w:rsidRPr="00EB5A45" w:rsidRDefault="00EB5A45" w:rsidP="00EB5A45">
      <w:pPr>
        <w:pStyle w:val="JACoWThirdLevelHeading"/>
        <w:sectPr w:rsidR="00EB5A45" w:rsidRPr="00EB5A45" w:rsidSect="00A82CAE">
          <w:footnotePr>
            <w:pos w:val="beneathText"/>
            <w:numFmt w:val="chicago"/>
          </w:footnotePr>
          <w:endnotePr>
            <w:numFmt w:val="decimal"/>
          </w:endnotePr>
          <w:pgSz w:w="11901" w:h="15842" w:code="227"/>
          <w:pgMar w:top="1077" w:right="1134" w:bottom="1077" w:left="1134" w:header="0" w:footer="0" w:gutter="0"/>
          <w:cols w:space="288"/>
          <w:docGrid w:linePitch="360"/>
        </w:sectPr>
      </w:pPr>
    </w:p>
    <w:p w14:paraId="2274A781" w14:textId="77777777" w:rsidR="00D162A1" w:rsidRPr="009E6644" w:rsidRDefault="00D162A1" w:rsidP="00EB5A45">
      <w:pPr>
        <w:pStyle w:val="JACoWAbstractHeading"/>
      </w:pPr>
      <w:r w:rsidRPr="00653B25">
        <w:t>Abstra</w:t>
      </w:r>
      <w:r w:rsidRPr="009D737B">
        <w:t>ct</w:t>
      </w:r>
    </w:p>
    <w:p w14:paraId="5535588D" w14:textId="3F6C0B40" w:rsidR="002F508E" w:rsidRDefault="002F508E" w:rsidP="00EB5A45">
      <w:pPr>
        <w:pStyle w:val="BodyTextIndent"/>
      </w:pPr>
      <w:r w:rsidRPr="001707F0">
        <w:t xml:space="preserve">The Ghost Collider </w:t>
      </w:r>
      <w:r>
        <w:t xml:space="preserve">is an innovative proposal for a </w:t>
      </w:r>
      <w:r w:rsidR="003C32E4" w:rsidRPr="001707F0">
        <w:t>550</w:t>
      </w:r>
      <w:r w:rsidR="003C32E4">
        <w:t> </w:t>
      </w:r>
      <w:r w:rsidRPr="001707F0">
        <w:t>GeV cent</w:t>
      </w:r>
      <w:r>
        <w:t>re</w:t>
      </w:r>
      <w:r w:rsidRPr="001707F0">
        <w:t>-of-mass, 275 GeV per beam</w:t>
      </w:r>
      <w:r>
        <w:t xml:space="preserve"> linear collider with four</w:t>
      </w:r>
      <w:r w:rsidRPr="001707F0">
        <w:t xml:space="preserve"> interaction regions, each with the </w:t>
      </w:r>
      <w:r w:rsidRPr="009B3E85">
        <w:t>design</w:t>
      </w:r>
      <w:r w:rsidRPr="001707F0">
        <w:t xml:space="preserve"> luminosity</w:t>
      </w:r>
      <w:r>
        <w:t xml:space="preserve">. The primary innovation is the use of “ghost bunches” containing equal numbers of electrons and positrons so they are electrically neutral. In the linacs, energy is transferred between electrons and positrons in the same bunch, decelerating one type of particle and using the energy to accelerate the </w:t>
      </w:r>
      <w:r w:rsidR="00EB5A45">
        <w:t>other:</w:t>
      </w:r>
      <w:r>
        <w:t xml:space="preserve"> a new class of Energy Recovery Linacs. At the interaction points, collisions between two neutral ghost bunches occurs wit</w:t>
      </w:r>
      <w:r w:rsidR="00202CBF">
        <w:t>h weakened</w:t>
      </w:r>
      <w:r>
        <w:t xml:space="preserve"> electromagnetic interaction such as the beam-beam effect or disruption, ensuring that the particles and their energy can be recycled with minimal loss. Four “serial IPs” are incorporated, where chromatic errors produced in one IP are cancelled in the following IP. The neutral beam instability at the IP is also addressed. All</w:t>
      </w:r>
      <w:r w:rsidRPr="00913F92">
        <w:t xml:space="preserve"> </w:t>
      </w:r>
      <w:r>
        <w:t xml:space="preserve">interaction points have </w:t>
      </w:r>
      <w:r w:rsidRPr="00913F92">
        <w:t xml:space="preserve">the nominal luminosity </w:t>
      </w:r>
      <w:r>
        <w:t xml:space="preserve">per IP of </w:t>
      </w:r>
      <w:r w:rsidRPr="00913F92">
        <w:t>2.</w:t>
      </w:r>
      <w:r>
        <w:t>8</w:t>
      </w:r>
      <w:r w:rsidRPr="00913F92">
        <w:t xml:space="preserve"> x 10</w:t>
      </w:r>
      <w:r w:rsidRPr="00913F92">
        <w:rPr>
          <w:vertAlign w:val="superscript"/>
        </w:rPr>
        <w:t xml:space="preserve">34 </w:t>
      </w:r>
      <w:r w:rsidRPr="00913F92">
        <w:t>cm</w:t>
      </w:r>
      <w:r w:rsidRPr="00913F92">
        <w:rPr>
          <w:vertAlign w:val="superscript"/>
        </w:rPr>
        <w:t>-2</w:t>
      </w:r>
      <w:r w:rsidRPr="00913F92">
        <w:t>s</w:t>
      </w:r>
      <w:r w:rsidRPr="00913F92">
        <w:rPr>
          <w:vertAlign w:val="superscript"/>
        </w:rPr>
        <w:t xml:space="preserve">-1 </w:t>
      </w:r>
      <w:r>
        <w:t>for a facility luminosity of 1.1</w:t>
      </w:r>
      <w:r w:rsidRPr="00913F92">
        <w:t xml:space="preserve"> x10</w:t>
      </w:r>
      <w:r w:rsidRPr="00913F92">
        <w:rPr>
          <w:vertAlign w:val="superscript"/>
        </w:rPr>
        <w:t>3</w:t>
      </w:r>
      <w:r>
        <w:rPr>
          <w:vertAlign w:val="superscript"/>
        </w:rPr>
        <w:t>5</w:t>
      </w:r>
      <w:r w:rsidRPr="00913F92">
        <w:t xml:space="preserve"> cm</w:t>
      </w:r>
      <w:r w:rsidRPr="00913F92">
        <w:rPr>
          <w:vertAlign w:val="superscript"/>
        </w:rPr>
        <w:t>-2</w:t>
      </w:r>
      <w:r w:rsidRPr="00913F92">
        <w:t>s</w:t>
      </w:r>
      <w:r w:rsidRPr="00913F92">
        <w:rPr>
          <w:vertAlign w:val="superscript"/>
        </w:rPr>
        <w:t>-1</w:t>
      </w:r>
      <w:r>
        <w:rPr>
          <w:vertAlign w:val="superscript"/>
        </w:rPr>
        <w:t xml:space="preserve"> </w:t>
      </w:r>
      <w:r w:rsidRPr="00913F92">
        <w:t xml:space="preserve">@ 100 MW electrical power for </w:t>
      </w:r>
      <w:r>
        <w:t xml:space="preserve">the </w:t>
      </w:r>
      <w:r w:rsidRPr="00913F92">
        <w:t>RF</w:t>
      </w:r>
      <w:r>
        <w:t xml:space="preserve"> systems. The result is a totally original concept for an electron-positron collider. </w:t>
      </w:r>
    </w:p>
    <w:p w14:paraId="11C4CD7C" w14:textId="77777777" w:rsidR="002F508E" w:rsidRPr="00AB578D" w:rsidRDefault="002F508E" w:rsidP="00AB578D">
      <w:pPr>
        <w:pStyle w:val="JACoWSubsectionHeading"/>
      </w:pPr>
      <w:r w:rsidRPr="00AB578D">
        <w:t>Overview</w:t>
      </w:r>
    </w:p>
    <w:p w14:paraId="556714F8" w14:textId="65BE968C" w:rsidR="002F508E" w:rsidRDefault="002F508E" w:rsidP="00EB5A45">
      <w:pPr>
        <w:pStyle w:val="JACoWParagrapghAfter0pt"/>
        <w:contextualSpacing/>
      </w:pPr>
      <w:r>
        <w:t xml:space="preserve">Two </w:t>
      </w:r>
      <w:r w:rsidRPr="00E61A5B">
        <w:t>new bunch concepts</w:t>
      </w:r>
      <w:r>
        <w:t xml:space="preserve"> are introduced and developed</w:t>
      </w:r>
      <w:r w:rsidRPr="00E61A5B">
        <w:t>, both of which are electrically neutral</w:t>
      </w:r>
      <w:r>
        <w:t>, hence the name “Ghost Collider</w:t>
      </w:r>
      <w:r w:rsidRPr="00E61A5B">
        <w:t>.</w:t>
      </w:r>
      <w:r>
        <w:t>”</w:t>
      </w:r>
      <w:r w:rsidRPr="00E61A5B">
        <w:t xml:space="preserve"> Firstly, bunches within linacs </w:t>
      </w:r>
      <w:r>
        <w:t>contain an equal number of</w:t>
      </w:r>
      <w:r w:rsidRPr="00E61A5B">
        <w:t xml:space="preserve"> accelerating particles of one charge partnered with decelerating particles of the opposite charge.</w:t>
      </w:r>
      <w:r w:rsidR="00EB5A45">
        <w:t xml:space="preserve"> The </w:t>
      </w:r>
      <w:r>
        <w:t xml:space="preserve">bunches have no electromagnetic interaction with the linac cryomodules. </w:t>
      </w:r>
    </w:p>
    <w:p w14:paraId="24E7E883" w14:textId="2B581AE0" w:rsidR="006938E2" w:rsidRDefault="002F508E" w:rsidP="00EB5A45">
      <w:pPr>
        <w:pStyle w:val="JACoWParagrapghAfter0pt"/>
        <w:contextualSpacing/>
      </w:pPr>
      <w:r w:rsidRPr="00E61A5B">
        <w:t xml:space="preserve">Secondly, bunches undergoing collision </w:t>
      </w:r>
      <w:r>
        <w:t>also have equal numbers of</w:t>
      </w:r>
      <w:r w:rsidRPr="00E61A5B">
        <w:t xml:space="preserve"> particles of both charges at the same energy.</w:t>
      </w:r>
      <w:r>
        <w:t xml:space="preserve"> The bunches have little electromagnetic interaction with each other enabling recovery of both the particles and their energy.</w:t>
      </w:r>
      <w:r w:rsidR="00AB578D">
        <w:t xml:space="preserve"> </w:t>
      </w:r>
    </w:p>
    <w:p w14:paraId="1422A27C" w14:textId="722D643D" w:rsidR="00BB2772" w:rsidRPr="00AB578D" w:rsidRDefault="00BB2772" w:rsidP="00AB578D">
      <w:pPr>
        <w:pStyle w:val="JACoWSubsectionHeading"/>
      </w:pPr>
      <w:r w:rsidRPr="00AB578D">
        <w:t>Background</w:t>
      </w:r>
    </w:p>
    <w:p w14:paraId="1FEF4D04" w14:textId="6B8F7B2E" w:rsidR="00EB5A45" w:rsidRDefault="00BB2772" w:rsidP="00EB5A45">
      <w:pPr>
        <w:pStyle w:val="BodyTextIndent"/>
        <w:contextualSpacing/>
      </w:pPr>
      <w:r>
        <w:t xml:space="preserve">The Ghost Collider concept grew out of two previous ideas. First, Valeri </w:t>
      </w:r>
      <w:proofErr w:type="spellStart"/>
      <w:r>
        <w:t>Telnov</w:t>
      </w:r>
      <w:proofErr w:type="spellEnd"/>
      <w:r>
        <w:t xml:space="preserve"> proposed a twin-axis energy recovery linac concept</w:t>
      </w:r>
      <w:r w:rsidR="000C0A7E">
        <w:t xml:space="preserve"> [1] </w:t>
      </w:r>
      <w:r>
        <w:t xml:space="preserve">consisting of two parallel superconducting linacs connected by RF couplers so that the fields are always equal. One linac is for acceleration, one for deceleration. </w:t>
      </w:r>
    </w:p>
    <w:p w14:paraId="30370F50" w14:textId="77777777" w:rsidR="00AB578D" w:rsidRPr="006938E2" w:rsidRDefault="00AB578D" w:rsidP="00AB578D">
      <w:pPr>
        <w:pStyle w:val="BodyTextIndent"/>
        <w:contextualSpacing/>
      </w:pPr>
    </w:p>
    <w:p w14:paraId="4B53305A" w14:textId="77777777" w:rsidR="00AB578D" w:rsidRDefault="00AB578D" w:rsidP="00AB578D">
      <w:pPr>
        <w:pStyle w:val="JACoWParagrapghAfter0pt"/>
        <w:contextualSpacing/>
        <w:rPr>
          <w:color w:val="000000" w:themeColor="text1"/>
          <w:shd w:val="clear" w:color="auto" w:fill="FFFFFF"/>
        </w:rPr>
      </w:pPr>
      <w:r>
        <w:t>*</w:t>
      </w:r>
      <w:r w:rsidRPr="002F508E">
        <w:rPr>
          <w:rFonts w:ascii="avenir-light" w:hAnsi="avenir-light"/>
          <w:color w:val="000000" w:themeColor="text1"/>
          <w:shd w:val="clear" w:color="auto" w:fill="FFFFFF"/>
        </w:rPr>
        <w:t xml:space="preserve"> </w:t>
      </w:r>
      <w:r w:rsidRPr="002F508E">
        <w:rPr>
          <w:color w:val="000000" w:themeColor="text1"/>
          <w:shd w:val="clear" w:color="auto" w:fill="FFFFFF"/>
        </w:rPr>
        <w:t>This material is based upon work supported by the U.S. Department of Energy, Office of Science, Office of Nuclear Physics under contract DE-AC05-06OR23177</w:t>
      </w:r>
    </w:p>
    <w:p w14:paraId="0DE5493B" w14:textId="77777777" w:rsidR="00AB578D" w:rsidRDefault="00AB578D" w:rsidP="00EB5A45">
      <w:pPr>
        <w:pStyle w:val="BodyTextIndent"/>
        <w:contextualSpacing/>
      </w:pPr>
    </w:p>
    <w:p w14:paraId="6651397B" w14:textId="3B43FC2A" w:rsidR="00BB2772" w:rsidRDefault="00BB2772" w:rsidP="00EB5A45">
      <w:pPr>
        <w:pStyle w:val="BodyTextIndent"/>
        <w:contextualSpacing/>
      </w:pPr>
      <w:r w:rsidRPr="005C5083">
        <w:t>Erk Jensen suggested a different layout</w:t>
      </w:r>
      <w:r w:rsidR="000C0A7E">
        <w:t xml:space="preserve"> [2] </w:t>
      </w:r>
      <w:r w:rsidRPr="005C5083">
        <w:t>and realized that if accelerating electrons and decelerating positrons (or vice versa) shared the same bucket, there would be</w:t>
      </w:r>
      <w:r>
        <w:t xml:space="preserve"> n</w:t>
      </w:r>
      <w:r w:rsidRPr="005C5083">
        <w:t>o excitation of higher modes (HOMs)</w:t>
      </w:r>
      <w:r>
        <w:t xml:space="preserve"> and n</w:t>
      </w:r>
      <w:r w:rsidRPr="005C5083">
        <w:t>o Multi-bunch Beam Break-Up (MBBU)</w:t>
      </w:r>
      <w:r>
        <w:t xml:space="preserve">. </w:t>
      </w:r>
    </w:p>
    <w:p w14:paraId="282A0E54" w14:textId="17B7A313" w:rsidR="00EF634D" w:rsidRDefault="00BB2772" w:rsidP="00EB5A45">
      <w:pPr>
        <w:pStyle w:val="BodyTextIndent"/>
        <w:contextualSpacing/>
        <w:rPr>
          <w:color w:val="000000" w:themeColor="text1"/>
        </w:rPr>
      </w:pPr>
      <w:r>
        <w:t>This differs from</w:t>
      </w:r>
      <w:r w:rsidRPr="00AC044F">
        <w:t xml:space="preserve"> </w:t>
      </w:r>
      <w:proofErr w:type="spellStart"/>
      <w:r w:rsidRPr="00AC044F">
        <w:t>Telnov’s</w:t>
      </w:r>
      <w:proofErr w:type="spellEnd"/>
      <w:r w:rsidRPr="00AC044F">
        <w:t xml:space="preserve"> proposal</w:t>
      </w:r>
      <w:r>
        <w:t xml:space="preserve"> in that each</w:t>
      </w:r>
      <w:r w:rsidRPr="00AC044F">
        <w:t xml:space="preserve"> of the four linacs is used for both acceleration and deceleration. For the same </w:t>
      </w:r>
      <m:oMath>
        <m:sSub>
          <m:sSubPr>
            <m:ctrlPr>
              <w:rPr>
                <w:rFonts w:ascii="Cambria Math" w:hAnsi="Cambria Math"/>
                <w:i/>
                <w:iCs/>
              </w:rPr>
            </m:ctrlPr>
          </m:sSubPr>
          <m:e>
            <m:r>
              <w:rPr>
                <w:rFonts w:ascii="Cambria Math" w:hAnsi="Cambria Math"/>
              </w:rPr>
              <m:t>E</m:t>
            </m:r>
          </m:e>
          <m:sub>
            <m:r>
              <m:rPr>
                <m:sty m:val="p"/>
              </m:rPr>
              <w:rPr>
                <w:rFonts w:ascii="Cambria Math" w:hAnsi="Cambria Math"/>
              </w:rPr>
              <m:t>max</m:t>
            </m:r>
          </m:sub>
        </m:sSub>
      </m:oMath>
      <w:r w:rsidRPr="00AC044F">
        <w:t xml:space="preserve">, the accelerating gradient is halved </w:t>
      </w:r>
      <w:r>
        <w:t>so</w:t>
      </w:r>
      <w:r w:rsidRPr="00AC044F">
        <w:t xml:space="preserve"> dynamic losses </w:t>
      </w:r>
      <w:r>
        <w:t xml:space="preserve">are </w:t>
      </w:r>
      <w:r w:rsidRPr="00AC044F">
        <w:t>reduced by a factor 4</w:t>
      </w:r>
      <w:r>
        <w:t>, potentially allowing operation</w:t>
      </w:r>
      <w:r w:rsidRPr="00AC044F">
        <w:t xml:space="preserve"> in CW</w:t>
      </w:r>
      <w:r>
        <w:t xml:space="preserve"> mode. </w:t>
      </w:r>
      <w:r w:rsidRPr="00AC044F">
        <w:t xml:space="preserve">This comes at the expense of SR losses in the outer arcs at </w:t>
      </w:r>
      <m:oMath>
        <m:sSub>
          <m:sSubPr>
            <m:ctrlPr>
              <w:rPr>
                <w:rFonts w:ascii="Cambria Math" w:hAnsi="Cambria Math"/>
                <w:i/>
                <w:iCs/>
              </w:rPr>
            </m:ctrlPr>
          </m:sSubPr>
          <m:e>
            <m:r>
              <w:rPr>
                <w:rFonts w:ascii="Cambria Math" w:hAnsi="Cambria Math"/>
              </w:rPr>
              <m:t>E</m:t>
            </m:r>
          </m:e>
          <m:sub>
            <m:r>
              <m:rPr>
                <m:sty m:val="p"/>
              </m:rPr>
              <w:rPr>
                <w:rFonts w:ascii="Cambria Math" w:hAnsi="Cambria Math"/>
              </w:rPr>
              <m:t>max</m:t>
            </m:r>
          </m:sub>
        </m:sSub>
      </m:oMath>
      <w:r>
        <w:t xml:space="preserve">/2, </w:t>
      </w:r>
      <w:r w:rsidRPr="00AC044F">
        <w:t xml:space="preserve">which is still large, but only 1/16 of the </w:t>
      </w:r>
      <w:r>
        <w:t>synchrotron</w:t>
      </w:r>
      <w:r w:rsidRPr="00AC044F">
        <w:t xml:space="preserve"> power at </w:t>
      </w:r>
      <m:oMath>
        <m:sSub>
          <m:sSubPr>
            <m:ctrlPr>
              <w:rPr>
                <w:rFonts w:ascii="Cambria Math" w:hAnsi="Cambria Math"/>
              </w:rPr>
            </m:ctrlPr>
          </m:sSubPr>
          <m:e>
            <m:r>
              <w:rPr>
                <w:rFonts w:ascii="Cambria Math" w:hAnsi="Cambria Math"/>
              </w:rPr>
              <m:t>E</m:t>
            </m:r>
          </m:e>
          <m:sub>
            <m:r>
              <m:rPr>
                <m:sty m:val="p"/>
              </m:rPr>
              <w:rPr>
                <w:rFonts w:ascii="Cambria Math" w:hAnsi="Cambria Math"/>
              </w:rPr>
              <m:t>max</m:t>
            </m:r>
          </m:sub>
        </m:sSub>
      </m:oMath>
      <w:r w:rsidRPr="00AC044F">
        <w:t>.</w:t>
      </w:r>
      <w:r>
        <w:t xml:space="preserve"> A</w:t>
      </w:r>
      <w:r w:rsidRPr="00AC37FA">
        <w:t xml:space="preserve"> second variant of the Ghost Collider</w:t>
      </w:r>
      <w:r>
        <w:t xml:space="preserve"> has been developed</w:t>
      </w:r>
      <w:r w:rsidRPr="00AC37FA">
        <w:t xml:space="preserve"> that eliminates these arcs, at the expense of additional length. This is </w:t>
      </w:r>
      <w:r>
        <w:t>described</w:t>
      </w:r>
      <w:r w:rsidRPr="00AC37FA">
        <w:t xml:space="preserve"> in an accompanying </w:t>
      </w:r>
      <w:r w:rsidRPr="006A0004">
        <w:rPr>
          <w:color w:val="000000" w:themeColor="text1"/>
        </w:rPr>
        <w:t xml:space="preserve">paper </w:t>
      </w:r>
      <w:r w:rsidR="000C0A7E">
        <w:rPr>
          <w:color w:val="000000" w:themeColor="text1"/>
        </w:rPr>
        <w:t xml:space="preserve">[3]. </w:t>
      </w:r>
    </w:p>
    <w:p w14:paraId="7E95D51A" w14:textId="5C67F2CF" w:rsidR="00EF634D" w:rsidRDefault="00EF634D" w:rsidP="00AB578D">
      <w:pPr>
        <w:pStyle w:val="JACoWParagrapghAfter0pt"/>
        <w:contextualSpacing/>
      </w:pPr>
      <w:r>
        <w:t>Ac</w:t>
      </w:r>
      <w:r w:rsidRPr="00AC044F">
        <w:t>celerated e</w:t>
      </w:r>
      <w:r>
        <w:t>lectrons</w:t>
      </w:r>
      <w:r w:rsidRPr="00AC044F">
        <w:t xml:space="preserve"> and </w:t>
      </w:r>
      <w:r>
        <w:t>de</w:t>
      </w:r>
      <w:r w:rsidRPr="00AC044F">
        <w:t xml:space="preserve">celerated </w:t>
      </w:r>
      <w:r>
        <w:t>positrons</w:t>
      </w:r>
      <w:r w:rsidRPr="00AC044F">
        <w:t xml:space="preserve"> travel in the same linac </w:t>
      </w:r>
      <w:r w:rsidRPr="00C148EC">
        <w:t>and at the same phase location, so the total current is zero.</w:t>
      </w:r>
      <w:r w:rsidR="00900BAA">
        <w:t xml:space="preserve"> </w:t>
      </w:r>
      <w:r w:rsidRPr="00C148EC">
        <w:t>Electrons</w:t>
      </w:r>
      <w:r>
        <w:t xml:space="preserve"> are accelerated at the peak of the RF wave and positrons are decelerated. No energy is taken or added to the RF wave; the energy is transferred between the electrons and positrons – intra-bucket energy recovery – a new ERL mode. </w:t>
      </w:r>
    </w:p>
    <w:p w14:paraId="61D8411E" w14:textId="5A8EFED0" w:rsidR="00EF634D" w:rsidRPr="00AB578D" w:rsidRDefault="00EF634D" w:rsidP="00AB578D">
      <w:pPr>
        <w:pStyle w:val="JACoWSubsectionHeading"/>
      </w:pPr>
      <w:r w:rsidRPr="00AB578D">
        <w:t>Ghost Collisions</w:t>
      </w:r>
    </w:p>
    <w:p w14:paraId="4E781B91" w14:textId="53F98499" w:rsidR="00EF634D" w:rsidRDefault="00EF634D" w:rsidP="00EB5A45">
      <w:pPr>
        <w:pStyle w:val="JACoWParagrapghAfter0pt"/>
        <w:contextualSpacing/>
      </w:pPr>
      <w:r w:rsidRPr="004D41DF">
        <w:t>Positrons and electrons in a single bunch can be brought into collision with positrons and electrons which are also in a single bunch</w:t>
      </w:r>
      <w:r>
        <w:t xml:space="preserve">; </w:t>
      </w:r>
      <w:r w:rsidRPr="004D41DF">
        <w:t>two neutral plasmas colliding</w:t>
      </w:r>
      <w:r>
        <w:t xml:space="preserve"> so t</w:t>
      </w:r>
      <w:r w:rsidRPr="004D41DF">
        <w:t xml:space="preserve">here will be </w:t>
      </w:r>
      <w:r w:rsidR="00882414">
        <w:t>little</w:t>
      </w:r>
      <w:r w:rsidRPr="004D41DF">
        <w:t xml:space="preserve"> </w:t>
      </w:r>
      <w:r>
        <w:t>electromagnetic interaction (</w:t>
      </w:r>
      <w:r w:rsidRPr="004D41DF">
        <w:t>beam-beam effect</w:t>
      </w:r>
      <w:r>
        <w:t xml:space="preserve"> or disruption). </w:t>
      </w:r>
    </w:p>
    <w:p w14:paraId="4222A8B4" w14:textId="4C0737EF" w:rsidR="00EF634D" w:rsidRPr="00EF634D" w:rsidRDefault="00EF634D" w:rsidP="00EB5A45">
      <w:pPr>
        <w:pStyle w:val="JACoWParagrapghAfter0pt"/>
        <w:contextualSpacing/>
        <w:rPr>
          <w:bCs/>
          <w:i/>
          <w:sz w:val="24"/>
          <w:szCs w:val="24"/>
        </w:rPr>
      </w:pPr>
      <w:r w:rsidRPr="004D41DF">
        <w:t>This was first tried (unsuccessfully) at Orsay by the DCI Storage Ring Team</w:t>
      </w:r>
      <w:r w:rsidR="00882414">
        <w:t xml:space="preserve"> [4]</w:t>
      </w:r>
      <w:r>
        <w:t xml:space="preserve">. </w:t>
      </w:r>
      <w:r w:rsidRPr="00CB04A2">
        <w:rPr>
          <w:rFonts w:eastAsiaTheme="minorEastAsia"/>
        </w:rPr>
        <w:t>This was followed by several papers showing that the plasmas are in an</w:t>
      </w:r>
      <w:r w:rsidRPr="00CB04A2">
        <w:t xml:space="preserve"> unstable equilibrium</w:t>
      </w:r>
      <w:r w:rsidR="00E24F33">
        <w:rPr>
          <w:rFonts w:eastAsiaTheme="minorEastAsia"/>
          <w:color w:val="000000" w:themeColor="text1"/>
        </w:rPr>
        <w:t xml:space="preserve"> [5-8]</w:t>
      </w:r>
      <w:r w:rsidRPr="0044499A">
        <w:rPr>
          <w:rFonts w:eastAsiaTheme="minorEastAsia"/>
          <w:color w:val="000000" w:themeColor="text1"/>
        </w:rPr>
        <w:t>.</w:t>
      </w:r>
      <w:r w:rsidRPr="0044499A">
        <w:rPr>
          <w:color w:val="000000" w:themeColor="text1"/>
        </w:rPr>
        <w:t xml:space="preserve"> </w:t>
      </w:r>
      <w:r w:rsidRPr="00CB04A2">
        <w:rPr>
          <w:rFonts w:eastAsiaTheme="minorEastAsia"/>
        </w:rPr>
        <w:t>All of them considered a regime where the uncompensated disruption coefficient was high (between 5 and 10) as the beams would be dumped after collision</w:t>
      </w:r>
      <w:r>
        <w:t xml:space="preserve">. </w:t>
      </w:r>
      <w:r w:rsidRPr="00CB04A2">
        <w:rPr>
          <w:rFonts w:eastAsiaTheme="minorEastAsia"/>
        </w:rPr>
        <w:t>The Ghost Collider is aiming for a smaller uncompensated disruption coefficient because the beams will be recovered after collision</w:t>
      </w:r>
      <w:r>
        <w:t>.</w:t>
      </w:r>
      <w:r w:rsidRPr="00CB04A2">
        <w:rPr>
          <w:rFonts w:eastAsiaTheme="minorEastAsia"/>
        </w:rPr>
        <w:t xml:space="preserve"> The previous work indicates that this regime should be stable, </w:t>
      </w:r>
      <w:r>
        <w:t xml:space="preserve">and this has been confirmed by simulation for the Ghost Collider conditions. </w:t>
      </w:r>
    </w:p>
    <w:p w14:paraId="3A3C310E" w14:textId="77777777" w:rsidR="00EF634D" w:rsidRPr="00AB578D" w:rsidRDefault="00EF634D" w:rsidP="00AB578D">
      <w:pPr>
        <w:pStyle w:val="JACoWSubsectionHeading"/>
      </w:pPr>
      <w:r w:rsidRPr="00AB578D">
        <w:t>Interaction Region Delay Concept</w:t>
      </w:r>
    </w:p>
    <w:p w14:paraId="629D963D" w14:textId="79615ECA" w:rsidR="002B20F6" w:rsidRPr="002B20F6" w:rsidRDefault="00EF634D" w:rsidP="00EB5A45">
      <w:pPr>
        <w:pStyle w:val="JACoWParagrapghAfter0pt"/>
        <w:contextualSpacing/>
      </w:pPr>
      <w:r w:rsidRPr="00EF634D">
        <w:t xml:space="preserve">Electrons are injected into a bucket which accelerates the electrons; positrons are injected into the same bucket and are decelerated. Positrons are injected into a bucket </w:t>
      </w:r>
      <w:r w:rsidRPr="00EF634D">
        <w:rPr>
          <w:rFonts w:ascii="Cambria Math" w:hAnsi="Cambria Math" w:cs="Cambria Math"/>
        </w:rPr>
        <w:t>𝜆</w:t>
      </w:r>
      <w:r w:rsidRPr="00EF634D">
        <w:rPr>
          <w:vertAlign w:val="subscript"/>
        </w:rPr>
        <w:t>Linac/</w:t>
      </w:r>
      <w:r w:rsidRPr="00EF634D">
        <w:t xml:space="preserve">2 behind the first bucket and are accelerated; </w:t>
      </w:r>
      <w:bookmarkStart w:id="0" w:name="_Ref203552040"/>
      <w:r w:rsidRPr="00EF634D">
        <w:t xml:space="preserve">electrons are injected into the same bucket </w:t>
      </w:r>
      <w:r>
        <w:t>and</w:t>
      </w:r>
      <w:r w:rsidRPr="00EF634D">
        <w:t xml:space="preserve"> are decelerated.</w:t>
      </w:r>
      <w:bookmarkEnd w:id="0"/>
    </w:p>
    <w:p w14:paraId="0B78B3BC" w14:textId="77777777" w:rsidR="00093471" w:rsidRDefault="00EF634D" w:rsidP="00093471">
      <w:pPr>
        <w:pStyle w:val="JACoWParagrapghAfter0pt"/>
        <w:contextualSpacing/>
      </w:pPr>
      <w:r>
        <w:lastRenderedPageBreak/>
        <w:t>A</w:t>
      </w:r>
      <w:r w:rsidRPr="00447F09">
        <w:t xml:space="preserve"> </w:t>
      </w:r>
      <w:r w:rsidRPr="00752AB5">
        <w:t xml:space="preserve">chicane </w:t>
      </w:r>
      <w:r>
        <w:t>delays</w:t>
      </w:r>
      <w:r w:rsidRPr="00752AB5">
        <w:t xml:space="preserve"> the electrons between the Linac and the Interaction Region by </w:t>
      </w:r>
      <w:r w:rsidRPr="00752AB5">
        <w:rPr>
          <w:rFonts w:ascii="Cambria Math" w:hAnsi="Cambria Math" w:cs="Cambria Math"/>
        </w:rPr>
        <w:t>𝜆</w:t>
      </w:r>
      <w:r w:rsidRPr="00752AB5">
        <w:rPr>
          <w:vertAlign w:val="subscript"/>
        </w:rPr>
        <w:t>Linac</w:t>
      </w:r>
      <w:r w:rsidRPr="00752AB5">
        <w:t>/2</w:t>
      </w:r>
      <w:r w:rsidRPr="00447F09">
        <w:t xml:space="preserve">. </w:t>
      </w:r>
      <w:r>
        <w:t>T</w:t>
      </w:r>
      <w:r w:rsidRPr="00752AB5">
        <w:t xml:space="preserve">he same </w:t>
      </w:r>
      <w:r>
        <w:t xml:space="preserve">layout is used </w:t>
      </w:r>
      <w:r w:rsidRPr="00752AB5">
        <w:t>for the other linac</w:t>
      </w:r>
      <w:r>
        <w:t xml:space="preserve">; </w:t>
      </w:r>
      <w:r w:rsidRPr="00447F09">
        <w:t>c</w:t>
      </w:r>
      <w:r w:rsidRPr="00752AB5">
        <w:t>olli</w:t>
      </w:r>
      <w:r>
        <w:t>sions take place</w:t>
      </w:r>
      <w:r w:rsidRPr="00752AB5">
        <w:t xml:space="preserve"> with zero crossing a</w:t>
      </w:r>
      <w:r>
        <w:t>n</w:t>
      </w:r>
      <w:r w:rsidRPr="00752AB5">
        <w:t>gle</w:t>
      </w:r>
      <w:r w:rsidRPr="00447F09">
        <w:t>.</w:t>
      </w:r>
      <w:r w:rsidRPr="00AC1972">
        <w:t xml:space="preserve"> </w:t>
      </w:r>
      <w:r w:rsidRPr="000F5CC2">
        <w:t>After collision, the electrons</w:t>
      </w:r>
      <w:r>
        <w:t xml:space="preserve"> are sent</w:t>
      </w:r>
      <w:r w:rsidRPr="000F5CC2">
        <w:t xml:space="preserve"> through the opposite chicane to delay them by </w:t>
      </w:r>
      <w:r w:rsidRPr="00752AB5">
        <w:rPr>
          <w:rFonts w:ascii="Cambria Math" w:hAnsi="Cambria Math" w:cs="Cambria Math"/>
        </w:rPr>
        <w:t>𝜆</w:t>
      </w:r>
      <w:r w:rsidRPr="00752AB5">
        <w:rPr>
          <w:vertAlign w:val="subscript"/>
        </w:rPr>
        <w:t>Linac</w:t>
      </w:r>
      <w:r w:rsidRPr="00752AB5">
        <w:t>/2</w:t>
      </w:r>
      <w:r w:rsidRPr="00447F09">
        <w:t xml:space="preserve">. </w:t>
      </w:r>
    </w:p>
    <w:p w14:paraId="221119BE" w14:textId="7D2AED33" w:rsidR="00D12DC3" w:rsidRDefault="00B35064" w:rsidP="00093471">
      <w:pPr>
        <w:pStyle w:val="JACoWParagrapghAfter0pt"/>
        <w:contextualSpacing/>
      </w:pPr>
      <w:r w:rsidRPr="00447F09">
        <w:t>This r</w:t>
      </w:r>
      <w:r w:rsidRPr="000F5CC2">
        <w:t>equires a total of four chicanes</w:t>
      </w:r>
      <w:r w:rsidRPr="00447F09">
        <w:t xml:space="preserve"> and </w:t>
      </w:r>
      <w:r w:rsidRPr="000F5CC2">
        <w:t xml:space="preserve">returns the order of the bunches to its initial </w:t>
      </w:r>
      <w:r w:rsidRPr="008B531A">
        <w:t xml:space="preserve">state </w:t>
      </w:r>
      <w:r w:rsidR="00E16E43">
        <w:t>“</w:t>
      </w:r>
      <w:r w:rsidR="0072606E">
        <w:t xml:space="preserve">Fig. </w:t>
      </w:r>
      <w:r w:rsidR="00F1399C">
        <w:t>1</w:t>
      </w:r>
      <w:r w:rsidR="00202CBF">
        <w:t>”</w:t>
      </w:r>
      <w:r w:rsidRPr="008B531A">
        <w:t>.</w:t>
      </w:r>
      <w:r>
        <w:t xml:space="preserve"> After leaving the IP, the electrons are placed in the same bucket as the low energy positrons, transferring their energy to them. T</w:t>
      </w:r>
      <w:r w:rsidRPr="00CC2623">
        <w:t xml:space="preserve">his system </w:t>
      </w:r>
      <w:r>
        <w:t>is the</w:t>
      </w:r>
      <w:r w:rsidRPr="00CC2623">
        <w:t xml:space="preserve"> inter</w:t>
      </w:r>
      <w:r>
        <w:t>face between the linac ghost bunches and the IP ghost bunches.</w:t>
      </w:r>
    </w:p>
    <w:p w14:paraId="004F69C0" w14:textId="34C5D058" w:rsidR="00B35064" w:rsidRDefault="00B35064" w:rsidP="00EB5A45">
      <w:pPr>
        <w:keepNext w:val="0"/>
        <w:spacing w:before="0" w:after="0"/>
        <w:contextualSpacing/>
        <w:jc w:val="both"/>
      </w:pPr>
    </w:p>
    <w:p w14:paraId="082F3DF8" w14:textId="77777777" w:rsidR="00D12DC3" w:rsidRDefault="00D12DC3" w:rsidP="00EB5A45">
      <w:pPr>
        <w:keepNext w:val="0"/>
        <w:spacing w:before="0" w:after="0"/>
        <w:contextualSpacing/>
        <w:jc w:val="both"/>
        <w:rPr>
          <w:sz w:val="24"/>
          <w:szCs w:val="24"/>
        </w:rPr>
      </w:pPr>
      <w:r>
        <w:rPr>
          <w:noProof/>
          <w:color w:val="000000" w:themeColor="text1"/>
        </w:rPr>
        <mc:AlternateContent>
          <mc:Choice Requires="wps">
            <w:drawing>
              <wp:inline distT="0" distB="0" distL="0" distR="0" wp14:anchorId="3E76BBA0" wp14:editId="37C02A21">
                <wp:extent cx="2966720" cy="1742159"/>
                <wp:effectExtent l="0" t="0" r="5080" b="0"/>
                <wp:docPr id="426919828" name="Text Box 8"/>
                <wp:cNvGraphicFramePr/>
                <a:graphic xmlns:a="http://schemas.openxmlformats.org/drawingml/2006/main">
                  <a:graphicData uri="http://schemas.microsoft.com/office/word/2010/wordprocessingShape">
                    <wps:wsp>
                      <wps:cNvSpPr txBox="1"/>
                      <wps:spPr>
                        <a:xfrm>
                          <a:off x="0" y="0"/>
                          <a:ext cx="2966720" cy="1742159"/>
                        </a:xfrm>
                        <a:prstGeom prst="rect">
                          <a:avLst/>
                        </a:prstGeom>
                        <a:solidFill>
                          <a:schemeClr val="lt1"/>
                        </a:solidFill>
                        <a:ln w="6350">
                          <a:noFill/>
                        </a:ln>
                      </wps:spPr>
                      <wps:txbx>
                        <w:txbxContent>
                          <w:p w14:paraId="775ABA9C" w14:textId="621D0595" w:rsidR="00D12DC3" w:rsidRPr="00D12DC3" w:rsidRDefault="00D12DC3" w:rsidP="00D12DC3">
                            <w:pPr>
                              <w:rPr>
                                <w:i/>
                                <w:iCs/>
                                <w:szCs w:val="20"/>
                              </w:rPr>
                            </w:pPr>
                            <w:r>
                              <w:rPr>
                                <w:noProof/>
                                <w:sz w:val="24"/>
                                <w:szCs w:val="24"/>
                                <w14:ligatures w14:val="standardContextual"/>
                              </w:rPr>
                              <w:drawing>
                                <wp:inline distT="0" distB="0" distL="0" distR="0" wp14:anchorId="6EB5EFE0" wp14:editId="54C0524B">
                                  <wp:extent cx="2795270" cy="1342568"/>
                                  <wp:effectExtent l="0" t="0" r="0" b="3810"/>
                                  <wp:docPr id="1110591912" name="Picture 22" descr="A picture containing line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0591912" name="Picture 22" descr="A picture containing line chart&#10;&#10;AI-generated content may be incorrect."/>
                                          <pic:cNvPicPr/>
                                        </pic:nvPicPr>
                                        <pic:blipFill rotWithShape="1">
                                          <a:blip r:embed="rId8" cstate="print">
                                            <a:extLst>
                                              <a:ext uri="{28A0092B-C50C-407E-A947-70E740481C1C}">
                                                <a14:useLocalDpi xmlns:a14="http://schemas.microsoft.com/office/drawing/2010/main" val="0"/>
                                              </a:ext>
                                            </a:extLst>
                                          </a:blip>
                                          <a:srcRect r="48077"/>
                                          <a:stretch>
                                            <a:fillRect/>
                                          </a:stretch>
                                        </pic:blipFill>
                                        <pic:spPr bwMode="auto">
                                          <a:xfrm>
                                            <a:off x="0" y="0"/>
                                            <a:ext cx="2795270" cy="1342568"/>
                                          </a:xfrm>
                                          <a:prstGeom prst="rect">
                                            <a:avLst/>
                                          </a:prstGeom>
                                          <a:ln>
                                            <a:noFill/>
                                          </a:ln>
                                          <a:extLst>
                                            <a:ext uri="{53640926-AAD7-44D8-BBD7-CCE9431645EC}">
                                              <a14:shadowObscured xmlns:a14="http://schemas.microsoft.com/office/drawing/2010/main"/>
                                            </a:ext>
                                          </a:extLst>
                                        </pic:spPr>
                                      </pic:pic>
                                    </a:graphicData>
                                  </a:graphic>
                                </wp:inline>
                              </w:drawing>
                            </w:r>
                            <w:r w:rsidRPr="00D12DC3">
                              <w:rPr>
                                <w:sz w:val="24"/>
                                <w:szCs w:val="24"/>
                              </w:rPr>
                              <w:t xml:space="preserve"> </w:t>
                            </w:r>
                            <w:r w:rsidRPr="00D12DC3">
                              <w:rPr>
                                <w:i/>
                                <w:iCs/>
                                <w:szCs w:val="20"/>
                              </w:rPr>
                              <w:t xml:space="preserve">Figure </w:t>
                            </w:r>
                            <w:r w:rsidR="00F1399C">
                              <w:rPr>
                                <w:i/>
                                <w:iCs/>
                                <w:szCs w:val="20"/>
                              </w:rPr>
                              <w:t>1</w:t>
                            </w:r>
                            <w:r w:rsidR="00202CBF">
                              <w:rPr>
                                <w:i/>
                                <w:iCs/>
                                <w:szCs w:val="20"/>
                              </w:rPr>
                              <w:t>:</w:t>
                            </w:r>
                            <w:r w:rsidRPr="00D12DC3">
                              <w:rPr>
                                <w:i/>
                                <w:iCs/>
                                <w:szCs w:val="20"/>
                              </w:rPr>
                              <w:t xml:space="preserve"> Ghost Collider Interaction Region </w:t>
                            </w:r>
                            <w:r w:rsidR="00624C91">
                              <w:rPr>
                                <w:i/>
                                <w:iCs/>
                                <w:szCs w:val="20"/>
                              </w:rPr>
                              <w:t>showing two of</w:t>
                            </w:r>
                            <w:r w:rsidRPr="00D12DC3">
                              <w:rPr>
                                <w:i/>
                                <w:iCs/>
                                <w:szCs w:val="20"/>
                              </w:rPr>
                              <w:t xml:space="preserve"> </w:t>
                            </w:r>
                            <w:r w:rsidR="00624C91">
                              <w:rPr>
                                <w:i/>
                                <w:iCs/>
                                <w:szCs w:val="20"/>
                              </w:rPr>
                              <w:t>f</w:t>
                            </w:r>
                            <w:r w:rsidRPr="00D12DC3">
                              <w:rPr>
                                <w:i/>
                                <w:iCs/>
                                <w:szCs w:val="20"/>
                              </w:rPr>
                              <w:t xml:space="preserve">our </w:t>
                            </w:r>
                            <w:r w:rsidR="00624C91">
                              <w:rPr>
                                <w:i/>
                                <w:iCs/>
                                <w:szCs w:val="20"/>
                              </w:rPr>
                              <w:t>c</w:t>
                            </w:r>
                            <w:r w:rsidRPr="00D12DC3">
                              <w:rPr>
                                <w:i/>
                                <w:iCs/>
                                <w:szCs w:val="20"/>
                              </w:rPr>
                              <w:t>hicanes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E76BBA0" id="_x0000_t202" coordsize="21600,21600" o:spt="202" path="m,l,21600r21600,l21600,xe">
                <v:stroke joinstyle="miter"/>
                <v:path gradientshapeok="t" o:connecttype="rect"/>
              </v:shapetype>
              <v:shape id="Text Box 8" o:spid="_x0000_s1026" type="#_x0000_t202" style="width:233.6pt;height:137.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" fillcolor="white [3201]" stroked="f" strokeweight=".5pt">
                <v:textbox>
                  <w:txbxContent>
                    <w:p w14:paraId="775ABA9C" w14:textId="621D0595" w:rsidR="00D12DC3" w:rsidRPr="00D12DC3" w:rsidRDefault="00D12DC3" w:rsidP="00D12DC3">
                      <w:pPr>
                        <w:rPr>
                          <w:i/>
                          <w:iCs/>
                          <w:szCs w:val="20"/>
                        </w:rPr>
                      </w:pPr>
                      <w:r>
                        <w:rPr>
                          <w:noProof/>
                          <w:sz w:val="24"/>
                          <w:szCs w:val="24"/>
                          <w14:ligatures w14:val="standardContextual"/>
                        </w:rPr>
                        <w:drawing>
                          <wp:inline distT="0" distB="0" distL="0" distR="0" wp14:anchorId="6EB5EFE0" wp14:editId="54C0524B">
                            <wp:extent cx="2795270" cy="1342568"/>
                            <wp:effectExtent l="0" t="0" r="0" b="3810"/>
                            <wp:docPr id="1110591912" name="Picture 22" descr="A picture containing line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0591912" name="Picture 22" descr="A picture containing line chart&#10;&#10;AI-generated content may be incorrect."/>
                                    <pic:cNvPicPr/>
                                  </pic:nvPicPr>
                                  <pic:blipFill rotWithShape="1">
                                    <a:blip r:embed="rId9" cstate="print">
                                      <a:extLst>
                                        <a:ext uri="{28A0092B-C50C-407E-A947-70E740481C1C}">
                                          <a14:useLocalDpi xmlns:a14="http://schemas.microsoft.com/office/drawing/2010/main" val="0"/>
                                        </a:ext>
                                      </a:extLst>
                                    </a:blip>
                                    <a:srcRect r="48077"/>
                                    <a:stretch>
                                      <a:fillRect/>
                                    </a:stretch>
                                  </pic:blipFill>
                                  <pic:spPr bwMode="auto">
                                    <a:xfrm>
                                      <a:off x="0" y="0"/>
                                      <a:ext cx="2795270" cy="1342568"/>
                                    </a:xfrm>
                                    <a:prstGeom prst="rect">
                                      <a:avLst/>
                                    </a:prstGeom>
                                    <a:ln>
                                      <a:noFill/>
                                    </a:ln>
                                    <a:extLst>
                                      <a:ext uri="{53640926-AAD7-44D8-BBD7-CCE9431645EC}">
                                        <a14:shadowObscured xmlns:a14="http://schemas.microsoft.com/office/drawing/2010/main"/>
                                      </a:ext>
                                    </a:extLst>
                                  </pic:spPr>
                                </pic:pic>
                              </a:graphicData>
                            </a:graphic>
                          </wp:inline>
                        </w:drawing>
                      </w:r>
                      <w:r w:rsidRPr="00D12DC3">
                        <w:rPr>
                          <w:sz w:val="24"/>
                          <w:szCs w:val="24"/>
                        </w:rPr>
                        <w:t xml:space="preserve"> </w:t>
                      </w:r>
                      <w:r w:rsidRPr="00D12DC3">
                        <w:rPr>
                          <w:i/>
                          <w:iCs/>
                          <w:szCs w:val="20"/>
                        </w:rPr>
                        <w:t xml:space="preserve">Figure </w:t>
                      </w:r>
                      <w:r w:rsidR="00F1399C">
                        <w:rPr>
                          <w:i/>
                          <w:iCs/>
                          <w:szCs w:val="20"/>
                        </w:rPr>
                        <w:t>1</w:t>
                      </w:r>
                      <w:r w:rsidR="00202CBF">
                        <w:rPr>
                          <w:i/>
                          <w:iCs/>
                          <w:szCs w:val="20"/>
                        </w:rPr>
                        <w:t>:</w:t>
                      </w:r>
                      <w:r w:rsidRPr="00D12DC3">
                        <w:rPr>
                          <w:i/>
                          <w:iCs/>
                          <w:szCs w:val="20"/>
                        </w:rPr>
                        <w:t xml:space="preserve"> Ghost Collider Interaction Region </w:t>
                      </w:r>
                      <w:r w:rsidR="00624C91">
                        <w:rPr>
                          <w:i/>
                          <w:iCs/>
                          <w:szCs w:val="20"/>
                        </w:rPr>
                        <w:t>showing two of</w:t>
                      </w:r>
                      <w:r w:rsidRPr="00D12DC3">
                        <w:rPr>
                          <w:i/>
                          <w:iCs/>
                          <w:szCs w:val="20"/>
                        </w:rPr>
                        <w:t xml:space="preserve"> </w:t>
                      </w:r>
                      <w:r w:rsidR="00624C91">
                        <w:rPr>
                          <w:i/>
                          <w:iCs/>
                          <w:szCs w:val="20"/>
                        </w:rPr>
                        <w:t>f</w:t>
                      </w:r>
                      <w:r w:rsidRPr="00D12DC3">
                        <w:rPr>
                          <w:i/>
                          <w:iCs/>
                          <w:szCs w:val="20"/>
                        </w:rPr>
                        <w:t xml:space="preserve">our </w:t>
                      </w:r>
                      <w:r w:rsidR="00624C91">
                        <w:rPr>
                          <w:i/>
                          <w:iCs/>
                          <w:szCs w:val="20"/>
                        </w:rPr>
                        <w:t>c</w:t>
                      </w:r>
                      <w:r w:rsidRPr="00D12DC3">
                        <w:rPr>
                          <w:i/>
                          <w:iCs/>
                          <w:szCs w:val="20"/>
                        </w:rPr>
                        <w:t>hicanes</w:t>
                      </w:r>
                    </w:p>
                  </w:txbxContent>
                </v:textbox>
                <w10:anchorlock/>
              </v:shape>
            </w:pict>
          </mc:Fallback>
        </mc:AlternateContent>
      </w:r>
    </w:p>
    <w:p w14:paraId="46DFB802" w14:textId="7D8D2E80" w:rsidR="003A3EBD" w:rsidRPr="00AB578D" w:rsidRDefault="00B35064" w:rsidP="00AB578D">
      <w:pPr>
        <w:pStyle w:val="JACoWSubsectionHeading"/>
      </w:pPr>
      <w:r w:rsidRPr="00AB578D">
        <w:t>Beam Shape at the I</w:t>
      </w:r>
      <w:r w:rsidR="00624C91" w:rsidRPr="00AB578D">
        <w:t xml:space="preserve">nteraction </w:t>
      </w:r>
      <w:r w:rsidRPr="00AB578D">
        <w:t>P</w:t>
      </w:r>
      <w:r w:rsidR="00624C91" w:rsidRPr="00AB578D">
        <w:t>oint (IP)</w:t>
      </w:r>
    </w:p>
    <w:p w14:paraId="392F5827" w14:textId="0B89D8BD" w:rsidR="00624C91" w:rsidRDefault="00B35064" w:rsidP="00EB5A45">
      <w:pPr>
        <w:pStyle w:val="JACoWParagrapghAfter0pt"/>
        <w:contextualSpacing/>
      </w:pPr>
      <w:r w:rsidRPr="00060BF1">
        <w:t xml:space="preserve">In all linear colliders </w:t>
      </w:r>
      <w:r w:rsidR="00143DF6">
        <w:t xml:space="preserve">considered </w:t>
      </w:r>
      <w:r w:rsidRPr="00060BF1">
        <w:t>to date</w:t>
      </w:r>
      <w:r w:rsidRPr="002A135E">
        <w:t xml:space="preserve">, the colliding beams are </w:t>
      </w:r>
      <w:r w:rsidR="00202CBF">
        <w:t>short</w:t>
      </w:r>
      <w:r w:rsidRPr="002A135E">
        <w:t xml:space="preserve"> and </w:t>
      </w:r>
      <w:r w:rsidR="00202CBF">
        <w:t>wide</w:t>
      </w:r>
      <w:r w:rsidRPr="002A135E">
        <w:t>, and since the electrons and the counter-rotating positrons focus identically, both beams have the same shape</w:t>
      </w:r>
      <w:r w:rsidR="00143DF6">
        <w:t xml:space="preserve"> at the IP</w:t>
      </w:r>
      <w:r>
        <w:t xml:space="preserve">. </w:t>
      </w:r>
      <w:r w:rsidRPr="002A135E">
        <w:t xml:space="preserve">If the beams at the IP of the Ghost Collider </w:t>
      </w:r>
      <w:r>
        <w:t xml:space="preserve">were to </w:t>
      </w:r>
      <w:r w:rsidRPr="002A135E">
        <w:t xml:space="preserve">follow this trend, electrons from the left against positrons from the right would also be </w:t>
      </w:r>
      <w:r w:rsidR="00202CBF">
        <w:t>short</w:t>
      </w:r>
      <w:r w:rsidR="00202CBF" w:rsidRPr="002A135E">
        <w:t xml:space="preserve"> and </w:t>
      </w:r>
      <w:r w:rsidR="00202CBF">
        <w:t>wide</w:t>
      </w:r>
      <w:r>
        <w:t xml:space="preserve"> b</w:t>
      </w:r>
      <w:r w:rsidRPr="002A135E">
        <w:t>ut for electrons from the right and positrons from the left, the beam shape would be tall and thin</w:t>
      </w:r>
      <w:r>
        <w:t xml:space="preserve">. </w:t>
      </w:r>
      <w:r w:rsidRPr="002A135E">
        <w:t xml:space="preserve">This shape mismatch </w:t>
      </w:r>
      <w:r w:rsidRPr="00060BF1">
        <w:t xml:space="preserve">would </w:t>
      </w:r>
      <w:r w:rsidR="00143DF6">
        <w:t>negate</w:t>
      </w:r>
      <w:r w:rsidRPr="002A135E">
        <w:t xml:space="preserve"> the </w:t>
      </w:r>
      <w:r>
        <w:t xml:space="preserve">desired </w:t>
      </w:r>
      <w:r w:rsidRPr="002A135E">
        <w:t>compensation of electromagnetic interactions at the IP</w:t>
      </w:r>
      <w:r>
        <w:t xml:space="preserve">, reduce the overlap and therefore reduce the luminosity. </w:t>
      </w:r>
    </w:p>
    <w:p w14:paraId="4B33CCE3" w14:textId="77777777" w:rsidR="00624C91" w:rsidRDefault="00B35064" w:rsidP="00EB5A45">
      <w:pPr>
        <w:pStyle w:val="JACoWParagrapghAfter0pt"/>
        <w:contextualSpacing/>
      </w:pPr>
      <w:r w:rsidRPr="002A135E">
        <w:t>The best solution is to have equal horizontal and vertical emittances in all four beams and equal horizontal and vertical beta functions at the IP</w:t>
      </w:r>
      <w:r>
        <w:t xml:space="preserve">. </w:t>
      </w:r>
      <w:r w:rsidRPr="002A135E">
        <w:t>All four beams will then be round and equal in size at the IP ensuring cancelation of the electromagnetic interaction</w:t>
      </w:r>
      <w:r>
        <w:t xml:space="preserve">. </w:t>
      </w:r>
    </w:p>
    <w:p w14:paraId="7E683940" w14:textId="335B5A89" w:rsidR="00624C91" w:rsidRDefault="00B35064" w:rsidP="00EB5A45">
      <w:pPr>
        <w:pStyle w:val="JACoWParagrapghAfter0pt"/>
        <w:contextualSpacing/>
      </w:pPr>
      <w:r w:rsidRPr="002A135E">
        <w:t xml:space="preserve">To achieve this condition, </w:t>
      </w:r>
      <w:r>
        <w:t>all</w:t>
      </w:r>
      <w:r w:rsidRPr="002A135E">
        <w:t xml:space="preserve"> </w:t>
      </w:r>
      <w:r w:rsidR="00F759BE">
        <w:t>quadrupoles</w:t>
      </w:r>
      <w:r w:rsidR="00F759BE" w:rsidRPr="002A135E">
        <w:t xml:space="preserve"> </w:t>
      </w:r>
      <w:r>
        <w:t>ar</w:t>
      </w:r>
      <w:r w:rsidRPr="002A135E">
        <w:t xml:space="preserve">e rotated 45° throughout the Ghost Collider, including the damping rings, the linacs, the </w:t>
      </w:r>
      <w:r>
        <w:t>arc</w:t>
      </w:r>
      <w:r w:rsidRPr="002A135E">
        <w:t>s and the chicanes ensur</w:t>
      </w:r>
      <w:r>
        <w:t>ing</w:t>
      </w:r>
      <w:r w:rsidRPr="002A135E">
        <w:t xml:space="preserve"> equal horizontal and vertical emittances of the beams</w:t>
      </w:r>
      <w:r w:rsidRPr="00060BF1">
        <w:t xml:space="preserve"> i.e. full transverse coupling</w:t>
      </w:r>
      <w:r>
        <w:t xml:space="preserve"> is imposed</w:t>
      </w:r>
      <w:r w:rsidRPr="00060BF1">
        <w:t xml:space="preserve"> to ensure round beams.</w:t>
      </w:r>
      <w:r>
        <w:t xml:space="preserve"> </w:t>
      </w:r>
    </w:p>
    <w:p w14:paraId="7C49DA01" w14:textId="4DD8C1D9" w:rsidR="00AF5788" w:rsidRPr="00AF5788" w:rsidRDefault="00B35064" w:rsidP="00900BAA">
      <w:pPr>
        <w:pStyle w:val="JACoWParagrapghAfter0pt"/>
        <w:contextualSpacing/>
      </w:pPr>
      <w:r w:rsidRPr="002A135E">
        <w:t xml:space="preserve">Triplets </w:t>
      </w:r>
      <w:r>
        <w:t xml:space="preserve">are used to </w:t>
      </w:r>
      <w:r w:rsidRPr="002A135E">
        <w:t xml:space="preserve">focus the beams at the IP, </w:t>
      </w:r>
      <w:r>
        <w:t xml:space="preserve">rather than the usual doublets, </w:t>
      </w:r>
      <w:r w:rsidRPr="002A135E">
        <w:t>creating equal horizontal and vertical beta functions</w:t>
      </w:r>
      <w:r>
        <w:t xml:space="preserve">. </w:t>
      </w:r>
    </w:p>
    <w:p w14:paraId="705DC708" w14:textId="77777777" w:rsidR="00AF5788" w:rsidRPr="00AB578D" w:rsidRDefault="00AF5788" w:rsidP="00AB578D">
      <w:pPr>
        <w:pStyle w:val="JACoWSubsectionHeading"/>
      </w:pPr>
      <w:r w:rsidRPr="00AB578D">
        <w:t>Counter-propagation of neutral beams in linac</w:t>
      </w:r>
    </w:p>
    <w:p w14:paraId="32484D1E" w14:textId="37800B2B" w:rsidR="00093471" w:rsidRDefault="00AF5788" w:rsidP="00EB5A45">
      <w:pPr>
        <w:pStyle w:val="JACoWParagrapghAfter0pt"/>
        <w:contextualSpacing/>
      </w:pPr>
      <w:r w:rsidRPr="009869B1">
        <w:t>The ghost bunches have no electromagnetic interaction with their surroundings</w:t>
      </w:r>
      <w:r w:rsidR="002755BF">
        <w:t>, which</w:t>
      </w:r>
      <w:r w:rsidRPr="009869B1">
        <w:t xml:space="preserve"> enables a major simplification, a single bi-directional linac on each side of the IP</w:t>
      </w:r>
      <w:r>
        <w:t xml:space="preserve">. </w:t>
      </w:r>
      <w:r w:rsidRPr="009869B1">
        <w:t>There will be head-on collisions in the linac, but the luminosity will be small with minimal loss of particl</w:t>
      </w:r>
      <w:r>
        <w:t>es, so</w:t>
      </w:r>
      <w:r w:rsidRPr="00223881">
        <w:t xml:space="preserve"> no bypasses are required at these locations</w:t>
      </w:r>
      <w:r w:rsidR="002755BF">
        <w:t>.</w:t>
      </w:r>
      <w:r w:rsidRPr="00223881">
        <w:t xml:space="preserve"> </w:t>
      </w:r>
    </w:p>
    <w:p w14:paraId="69BD294F" w14:textId="77D893A1" w:rsidR="00AF5788" w:rsidRDefault="00AF5788" w:rsidP="00EB5A45">
      <w:pPr>
        <w:pStyle w:val="JACoWParagrapghAfter0pt"/>
        <w:contextualSpacing/>
      </w:pPr>
      <w:r>
        <w:t xml:space="preserve">However, there is an instability </w:t>
      </w:r>
      <w:r w:rsidR="006904F8">
        <w:t xml:space="preserve">when </w:t>
      </w:r>
      <w:r w:rsidR="00093471">
        <w:t xml:space="preserve">the charge centres are </w:t>
      </w:r>
      <w:r w:rsidR="006904F8">
        <w:t>separat</w:t>
      </w:r>
      <w:r w:rsidR="00093471">
        <w:t>ed,</w:t>
      </w:r>
      <w:r w:rsidR="006904F8">
        <w:t xml:space="preserve"> creat</w:t>
      </w:r>
      <w:r w:rsidR="00093471">
        <w:t>ing</w:t>
      </w:r>
      <w:r w:rsidR="006904F8">
        <w:t xml:space="preserve"> the equivalent of a dipole field</w:t>
      </w:r>
      <w:r w:rsidR="00C718EF">
        <w:t xml:space="preserve"> for the incoming bunches</w:t>
      </w:r>
      <w:r w:rsidR="006904F8">
        <w:t>. This is under active study including the applicability of the Bassetti-Erskin formula [</w:t>
      </w:r>
      <w:r w:rsidR="003C68AC">
        <w:t>9</w:t>
      </w:r>
      <w:r w:rsidR="006904F8">
        <w:t xml:space="preserve">] for beams with large transverse dimensions. </w:t>
      </w:r>
    </w:p>
    <w:p w14:paraId="44EDD451" w14:textId="7C3CEF12" w:rsidR="00AF5788" w:rsidRDefault="00AF5788" w:rsidP="00EB5A45">
      <w:pPr>
        <w:pStyle w:val="JACoWParagrapghAfter0pt"/>
        <w:contextualSpacing/>
      </w:pPr>
      <w:r>
        <w:t>To</w:t>
      </w:r>
      <w:r w:rsidRPr="00223881">
        <w:t xml:space="preserve"> estimat</w:t>
      </w:r>
      <w:r>
        <w:t>e the</w:t>
      </w:r>
      <w:r w:rsidRPr="00223881">
        <w:t xml:space="preserve"> </w:t>
      </w:r>
      <w:r>
        <w:t>Ghost C</w:t>
      </w:r>
      <w:r w:rsidRPr="00223881">
        <w:t>ollider luminosity</w:t>
      </w:r>
      <w:r>
        <w:t xml:space="preserve"> and power requirements,</w:t>
      </w:r>
      <w:r w:rsidRPr="009869B1">
        <w:t xml:space="preserve"> </w:t>
      </w:r>
      <w:r>
        <w:t xml:space="preserve">the </w:t>
      </w:r>
      <w:r w:rsidRPr="009869B1">
        <w:t xml:space="preserve">ILC </w:t>
      </w:r>
      <w:r>
        <w:t xml:space="preserve">pulsed </w:t>
      </w:r>
      <w:r w:rsidRPr="009869B1">
        <w:t>RF parameters</w:t>
      </w:r>
      <w:r>
        <w:t xml:space="preserve"> </w:t>
      </w:r>
      <w:r w:rsidRPr="009869B1">
        <w:t>(1300 MHz, 31.5 MV/m, 2 K cryogenics</w:t>
      </w:r>
      <w:r>
        <w:t xml:space="preserve">, </w:t>
      </w:r>
      <w:r w:rsidRPr="009869B1">
        <w:t>Q</w:t>
      </w:r>
      <w:r w:rsidRPr="009869B1">
        <w:rPr>
          <w:vertAlign w:val="subscript"/>
        </w:rPr>
        <w:t>0</w:t>
      </w:r>
      <w:r w:rsidRPr="009869B1">
        <w:t xml:space="preserve"> = 2.7 x 10</w:t>
      </w:r>
      <w:r w:rsidRPr="009869B1">
        <w:rPr>
          <w:vertAlign w:val="superscript"/>
        </w:rPr>
        <w:t>10</w:t>
      </w:r>
      <w:r w:rsidRPr="009869B1">
        <w:t xml:space="preserve">) </w:t>
      </w:r>
      <w:r>
        <w:t>will be adopted</w:t>
      </w:r>
      <w:r w:rsidRPr="00223881">
        <w:rPr>
          <w:rFonts w:ascii="Helvetica" w:eastAsiaTheme="minorHAnsi" w:hAnsi="Helvetica" w:cs="Helvetica"/>
          <w14:ligatures w14:val="standardContextual"/>
        </w:rPr>
        <w:t xml:space="preserve"> </w:t>
      </w:r>
      <w:r>
        <w:t>as they have been exhaustingly studied</w:t>
      </w:r>
      <w:r w:rsidR="003C68AC">
        <w:t xml:space="preserve"> [10]</w:t>
      </w:r>
      <w:r>
        <w:t>. However, only</w:t>
      </w:r>
      <w:r w:rsidRPr="009869B1">
        <w:t xml:space="preserve"> half the ILC linac length</w:t>
      </w:r>
      <w:r>
        <w:t xml:space="preserve"> is required which not only halves the construction cost for the cryomodules and linac tunnel but also halves the cryogenic and RF systems. When</w:t>
      </w:r>
      <w:r w:rsidRPr="009869B1">
        <w:t xml:space="preserve"> superconducting cavities with Nb</w:t>
      </w:r>
      <w:r w:rsidRPr="009869B1">
        <w:rPr>
          <w:vertAlign w:val="subscript"/>
        </w:rPr>
        <w:t>3</w:t>
      </w:r>
      <w:r w:rsidRPr="009869B1">
        <w:t>Sn coating become available, they could be used with a corresponding decrease in cryogenic losses by a factor 3</w:t>
      </w:r>
      <w:r>
        <w:t>.</w:t>
      </w:r>
    </w:p>
    <w:p w14:paraId="2D6F28F2" w14:textId="308B3AB8" w:rsidR="00AF5788" w:rsidRPr="00AF5788" w:rsidRDefault="00AF5788" w:rsidP="00EB5A45">
      <w:pPr>
        <w:pStyle w:val="JACoWParagrapghAfter0pt"/>
        <w:contextualSpacing/>
        <w:rPr>
          <w:bCs/>
          <w:i/>
          <w:sz w:val="24"/>
          <w:szCs w:val="24"/>
        </w:rPr>
      </w:pPr>
      <w:r>
        <w:t xml:space="preserve">With a damping ring energy of 5 GeV and a top energy of 275 GeV, each linac must provide 135 GeV of acceleration. Assuming a filling factor of 71% (as in the ILC) and 10% safety factor, the two linacs, one each side of the IP, will be 5.5 km in length. </w:t>
      </w:r>
    </w:p>
    <w:p w14:paraId="41BF414B" w14:textId="4AB4A326" w:rsidR="006904F8" w:rsidRPr="00AB578D" w:rsidRDefault="00AF5788" w:rsidP="00AB578D">
      <w:pPr>
        <w:pStyle w:val="JACoWSubsectionHeading"/>
      </w:pPr>
      <w:r w:rsidRPr="00AB578D">
        <w:t>Minimizing Arc Synchrotron Radiati</w:t>
      </w:r>
      <w:r w:rsidR="006904F8" w:rsidRPr="00AB578D">
        <w:t>on</w:t>
      </w:r>
    </w:p>
    <w:p w14:paraId="54C345E1" w14:textId="71C0D6CC" w:rsidR="006904F8" w:rsidRDefault="00AF5788" w:rsidP="00EB5A45">
      <w:pPr>
        <w:pStyle w:val="BodyTextIndent"/>
        <w:contextualSpacing/>
        <w:rPr>
          <w:bCs/>
          <w:i/>
          <w:sz w:val="24"/>
          <w:szCs w:val="24"/>
        </w:rPr>
      </w:pPr>
      <w:r w:rsidRPr="006904F8">
        <w:t>Using the standard scaling for a storage ring, the radius of curvature should scale as the square of the energy, so the arcs in the Ghost Collider</w:t>
      </w:r>
      <w:r w:rsidRPr="004B2FAF">
        <w:t xml:space="preserve"> should have a radius and circumference ¼ of that of a circular collider of the same energy at the IP</w:t>
      </w:r>
      <w:r>
        <w:t xml:space="preserve">. </w:t>
      </w:r>
      <w:r w:rsidRPr="004B2FAF">
        <w:t>For the normal design, the entry and exit to the arcs is a 60° bend of the same radius</w:t>
      </w:r>
      <w:r>
        <w:t xml:space="preserve">. </w:t>
      </w:r>
    </w:p>
    <w:p w14:paraId="11BB2D59" w14:textId="31B29FA7" w:rsidR="00AF5788" w:rsidRPr="006904F8" w:rsidRDefault="00AF5788" w:rsidP="00EB5A45">
      <w:pPr>
        <w:pStyle w:val="BodyTextIndent"/>
        <w:contextualSpacing/>
        <w:rPr>
          <w:bCs/>
          <w:i/>
          <w:sz w:val="24"/>
          <w:szCs w:val="24"/>
        </w:rPr>
      </w:pPr>
      <w:r w:rsidRPr="004B2FAF">
        <w:t>The circumference of each arc is then 7/6 of 2</w:t>
      </w:r>
      <w:r w:rsidRPr="004B2FAF">
        <w:sym w:font="Symbol" w:char="F070"/>
      </w:r>
      <w:r w:rsidRPr="004B2FAF">
        <w:t>R</w:t>
      </w:r>
      <w:r w:rsidR="00C26BA6">
        <w:t>,</w:t>
      </w:r>
      <w:r>
        <w:t xml:space="preserve"> and </w:t>
      </w:r>
      <w:r w:rsidR="006904F8">
        <w:t xml:space="preserve">while </w:t>
      </w:r>
      <w:r>
        <w:t>t</w:t>
      </w:r>
      <w:r w:rsidRPr="004B2FAF">
        <w:t>his geometry ha</w:t>
      </w:r>
      <w:r w:rsidR="006904F8">
        <w:t>s</w:t>
      </w:r>
      <w:r w:rsidRPr="004B2FAF">
        <w:t xml:space="preserve"> the shortest tunnel length</w:t>
      </w:r>
      <w:r w:rsidR="006904F8">
        <w:t xml:space="preserve">, it </w:t>
      </w:r>
      <w:r>
        <w:t xml:space="preserve">is not necessarily the best geometry. </w:t>
      </w:r>
      <w:r w:rsidRPr="00417FE1">
        <w:t>Reducing the total bend angle reduces the synchrotron radiation</w:t>
      </w:r>
      <w:r>
        <w:t xml:space="preserve"> but r</w:t>
      </w:r>
      <w:r w:rsidRPr="00417FE1">
        <w:t>equires additional straight tunnel</w:t>
      </w:r>
      <w:r>
        <w:t xml:space="preserve">. </w:t>
      </w:r>
      <w:r w:rsidRPr="00417FE1">
        <w:t>The optimum shape balances reduced arc length and increased total tunnel length</w:t>
      </w:r>
      <w:r>
        <w:t>. The improved Arc</w:t>
      </w:r>
      <w:r w:rsidRPr="00417FE1">
        <w:t xml:space="preserve"> </w:t>
      </w:r>
      <w:r>
        <w:t xml:space="preserve">geometry is shown in </w:t>
      </w:r>
      <w:r w:rsidR="0072606E">
        <w:t xml:space="preserve">Fig. </w:t>
      </w:r>
      <w:r w:rsidR="00C26BA6">
        <w:t>2</w:t>
      </w:r>
      <w:r>
        <w:t xml:space="preserve">. </w:t>
      </w:r>
    </w:p>
    <w:p w14:paraId="6A331DC9" w14:textId="408A9298" w:rsidR="007904A9" w:rsidRDefault="00AF5788" w:rsidP="00EB5A45">
      <w:pPr>
        <w:spacing w:before="0" w:after="0"/>
        <w:contextualSpacing/>
        <w:jc w:val="center"/>
        <w:rPr>
          <w:i/>
          <w:iCs/>
          <w:szCs w:val="20"/>
        </w:rPr>
      </w:pPr>
      <w:r>
        <w:rPr>
          <w:noProof/>
        </w:rPr>
        <w:drawing>
          <wp:inline distT="0" distB="0" distL="0" distR="0" wp14:anchorId="31235B8F" wp14:editId="09773812">
            <wp:extent cx="2882900" cy="657860"/>
            <wp:effectExtent l="0" t="0" r="0" b="2540"/>
            <wp:docPr id="1404197840" name="Picture 3" descr="Chart, line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4197840" name="Picture 3" descr="Chart, line chart&#10;&#10;AI-generated content may be incorrect."/>
                    <pic:cNvPicPr/>
                  </pic:nvPicPr>
                  <pic:blipFill rotWithShape="1">
                    <a:blip r:embed="rId10" cstate="print">
                      <a:extLst>
                        <a:ext uri="{28A0092B-C50C-407E-A947-70E740481C1C}">
                          <a14:useLocalDpi xmlns:a14="http://schemas.microsoft.com/office/drawing/2010/main" val="0"/>
                        </a:ext>
                      </a:extLst>
                    </a:blip>
                    <a:srcRect l="9134" r="719"/>
                    <a:stretch>
                      <a:fillRect/>
                    </a:stretch>
                  </pic:blipFill>
                  <pic:spPr bwMode="auto">
                    <a:xfrm>
                      <a:off x="0" y="0"/>
                      <a:ext cx="2885126" cy="658368"/>
                    </a:xfrm>
                    <a:prstGeom prst="rect">
                      <a:avLst/>
                    </a:prstGeom>
                    <a:ln>
                      <a:noFill/>
                    </a:ln>
                    <a:extLst>
                      <a:ext uri="{53640926-AAD7-44D8-BBD7-CCE9431645EC}">
                        <a14:shadowObscured xmlns:a14="http://schemas.microsoft.com/office/drawing/2010/main"/>
                      </a:ext>
                    </a:extLst>
                  </pic:spPr>
                </pic:pic>
              </a:graphicData>
            </a:graphic>
          </wp:inline>
        </w:drawing>
      </w:r>
      <w:bookmarkStart w:id="1" w:name="_Ref203553858"/>
      <w:r w:rsidRPr="006904F8">
        <w:rPr>
          <w:i/>
          <w:iCs/>
          <w:szCs w:val="20"/>
        </w:rPr>
        <w:t xml:space="preserve">Figure </w:t>
      </w:r>
      <w:bookmarkEnd w:id="1"/>
      <w:r w:rsidR="00C26BA6">
        <w:rPr>
          <w:i/>
          <w:iCs/>
          <w:szCs w:val="20"/>
        </w:rPr>
        <w:t>2</w:t>
      </w:r>
      <w:r w:rsidR="006904F8" w:rsidRPr="006904F8">
        <w:rPr>
          <w:i/>
          <w:iCs/>
          <w:szCs w:val="20"/>
        </w:rPr>
        <w:t>:</w:t>
      </w:r>
      <w:r w:rsidRPr="006904F8">
        <w:rPr>
          <w:i/>
          <w:iCs/>
          <w:szCs w:val="20"/>
        </w:rPr>
        <w:t xml:space="preserve"> Improved Arc Geometry</w:t>
      </w:r>
    </w:p>
    <w:p w14:paraId="29B0EDCB" w14:textId="77777777" w:rsidR="00C26BA6" w:rsidRPr="00C26BA6" w:rsidRDefault="00C26BA6" w:rsidP="00900BAA">
      <w:pPr>
        <w:pStyle w:val="BodyTextIndent"/>
        <w:contextualSpacing/>
        <w:rPr>
          <w:sz w:val="10"/>
          <w:szCs w:val="10"/>
        </w:rPr>
      </w:pPr>
    </w:p>
    <w:p w14:paraId="6A36889C" w14:textId="1F26AC69" w:rsidR="00AF5788" w:rsidRPr="00900BAA" w:rsidRDefault="00900BAA" w:rsidP="00900BAA">
      <w:pPr>
        <w:pStyle w:val="BodyTextIndent"/>
        <w:contextualSpacing/>
        <w:rPr>
          <w:i/>
          <w:iCs/>
        </w:rPr>
      </w:pPr>
      <w:r w:rsidRPr="007904A9">
        <w:t xml:space="preserve">The shape with the arc bending angle of 22.5° seems optimum. The radius of curvature of the arc, R, is a variable to be determined by a cost optimization. </w:t>
      </w:r>
      <w:r w:rsidR="00AF5788" w:rsidRPr="007904A9">
        <w:t xml:space="preserve">The total arc length is 64.2% of the normal design, which reduces synchrotron radiation by 35.8%. The synchrotron radiation is 75% of a circular ring with same arc radius R. However, the total length is 24.7% longer than normal design with the straight section length of 2.215 R. </w:t>
      </w:r>
    </w:p>
    <w:p w14:paraId="4FDACFB6" w14:textId="48C2AD09" w:rsidR="00900BAA" w:rsidRDefault="00AF5788" w:rsidP="00900BAA">
      <w:pPr>
        <w:pStyle w:val="BodyTextIndent"/>
        <w:contextualSpacing/>
      </w:pPr>
      <w:r w:rsidRPr="007904A9">
        <w:t xml:space="preserve">In the following sections, the LEP radius of curvature will be adopted, R = 3500 m, with bending radius </w:t>
      </w:r>
      <w:r w:rsidRPr="007904A9">
        <w:sym w:font="Symbol" w:char="F072"/>
      </w:r>
      <w:r w:rsidRPr="007904A9">
        <w:t xml:space="preserve"> = 3,096 m and a filling factor of 88%. With an injection energy of 5 GeV and a maximum energy of 275 GeV, the arc energy is 140 GeV. The synchrotron radiation loss is then 11 GeV for a full circular ring. Since each arc is ¾ of a full arc, the synchrotron radiation loss per arc is 8.24 GeV. </w:t>
      </w:r>
    </w:p>
    <w:p w14:paraId="64339E7E" w14:textId="687569B3" w:rsidR="00D1643F" w:rsidRDefault="0058650E" w:rsidP="00EB5A45">
      <w:pPr>
        <w:pStyle w:val="BodyTextIndent"/>
        <w:contextualSpacing/>
      </w:pPr>
      <w:r w:rsidRPr="00BC6863">
        <w:t xml:space="preserve">Electrons and positrons </w:t>
      </w:r>
      <w:r>
        <w:t>ar</w:t>
      </w:r>
      <w:r w:rsidRPr="00BC6863">
        <w:t xml:space="preserve">e counterrotating in a single vacuum chamber </w:t>
      </w:r>
      <w:r>
        <w:t xml:space="preserve">but are </w:t>
      </w:r>
      <w:r w:rsidRPr="00BC6863">
        <w:t>separated by establishing double-helix trajectories</w:t>
      </w:r>
      <w:r>
        <w:t xml:space="preserve"> like those used at the Tevatron</w:t>
      </w:r>
      <w:r w:rsidR="000C4EAE">
        <w:t xml:space="preserve"> [11]. </w:t>
      </w:r>
    </w:p>
    <w:p w14:paraId="230784D8" w14:textId="37E5FEE8" w:rsidR="0058650E" w:rsidRDefault="0058650E" w:rsidP="00EB5A45">
      <w:pPr>
        <w:pStyle w:val="BodyTextIndent"/>
        <w:contextualSpacing/>
      </w:pPr>
      <w:r>
        <w:lastRenderedPageBreak/>
        <w:t>T</w:t>
      </w:r>
      <w:r w:rsidRPr="00BC6863">
        <w:t xml:space="preserve">wo low-frequency RF separators </w:t>
      </w:r>
      <w:r>
        <w:t xml:space="preserve">are placed </w:t>
      </w:r>
      <w:r w:rsidRPr="00BC6863">
        <w:t>at each end of the regions where electrons and positrons are counterrotating</w:t>
      </w:r>
      <w:r>
        <w:t xml:space="preserve">. </w:t>
      </w:r>
      <w:r w:rsidRPr="00BC6863">
        <w:t>A horizontal RF separator provides a positive horizontal kick to the electrons and a negative horizontal kick to the positrons</w:t>
      </w:r>
      <w:r>
        <w:t xml:space="preserve">. </w:t>
      </w:r>
      <w:r w:rsidRPr="00BC6863">
        <w:t xml:space="preserve">A vertical RF separator, one quarter </w:t>
      </w:r>
      <w:proofErr w:type="spellStart"/>
      <w:r w:rsidRPr="00BC6863">
        <w:t>betatron</w:t>
      </w:r>
      <w:proofErr w:type="spellEnd"/>
      <w:r w:rsidRPr="00BC6863">
        <w:t xml:space="preserve"> wavelength downstream of the horizontal separator</w:t>
      </w:r>
      <w:r>
        <w:t>,</w:t>
      </w:r>
      <w:r w:rsidRPr="00BC6863">
        <w:t xml:space="preserve"> provides a positive vertical kick to the electrons and a negative vertical kick to the positrons initiat</w:t>
      </w:r>
      <w:r>
        <w:t>ing</w:t>
      </w:r>
      <w:r w:rsidRPr="00BC6863">
        <w:t xml:space="preserve"> a helical rotation of both beams</w:t>
      </w:r>
      <w:r>
        <w:t>.</w:t>
      </w:r>
      <w:r w:rsidRPr="00BC6863">
        <w:t xml:space="preserve"> </w:t>
      </w:r>
      <w:r>
        <w:t>T</w:t>
      </w:r>
      <w:r w:rsidRPr="00BC6863">
        <w:t>he electrical cent</w:t>
      </w:r>
      <w:r>
        <w:t>re</w:t>
      </w:r>
      <w:r w:rsidRPr="00BC6863">
        <w:t xml:space="preserve"> of the beams </w:t>
      </w:r>
      <w:r>
        <w:t xml:space="preserve">is </w:t>
      </w:r>
      <w:r w:rsidRPr="00BC6863">
        <w:t>in the cent</w:t>
      </w:r>
      <w:r>
        <w:t>re</w:t>
      </w:r>
      <w:r w:rsidRPr="00BC6863">
        <w:t xml:space="preserve"> of the beampipe, avoiding excitation of transverse fields</w:t>
      </w:r>
      <w:r>
        <w:t xml:space="preserve">. </w:t>
      </w:r>
      <w:r w:rsidRPr="00BC6863">
        <w:t>An identical pair of RF separators at the end of the beamline restores the bunches to the central trajectory</w:t>
      </w:r>
      <w:r w:rsidR="002755BF">
        <w:t xml:space="preserve"> </w:t>
      </w:r>
      <w:r w:rsidR="00D532DB">
        <w:t>(</w:t>
      </w:r>
      <w:r w:rsidR="002755BF">
        <w:t>Fig. 3</w:t>
      </w:r>
      <w:r w:rsidR="00D532DB">
        <w:t>)</w:t>
      </w:r>
      <w:r>
        <w:t xml:space="preserve">. </w:t>
      </w:r>
    </w:p>
    <w:p w14:paraId="7C5CA2FC" w14:textId="77777777" w:rsidR="004D5034" w:rsidRDefault="004D5034" w:rsidP="00EB5A45">
      <w:pPr>
        <w:pStyle w:val="BodyTextIndent"/>
        <w:contextualSpacing/>
      </w:pPr>
    </w:p>
    <w:p w14:paraId="7242FB7C" w14:textId="77777777" w:rsidR="004D5034" w:rsidRDefault="004D5034" w:rsidP="004D5034">
      <w:pPr>
        <w:pStyle w:val="BodyTextIndent"/>
        <w:ind w:firstLine="0"/>
        <w:contextualSpacing/>
      </w:pPr>
      <w:r>
        <w:rPr>
          <w:noProof/>
          <w14:ligatures w14:val="standardContextual"/>
        </w:rPr>
        <w:drawing>
          <wp:inline distT="0" distB="0" distL="0" distR="0" wp14:anchorId="12F5AF9F" wp14:editId="765F32BC">
            <wp:extent cx="2971800" cy="969264"/>
            <wp:effectExtent l="0" t="0" r="0" b="0"/>
            <wp:docPr id="1843457568" name="Picture 24" descr="A picture containing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3457568" name="Picture 24" descr="A picture containing chart&#10;&#10;AI-generated content may be incorrect."/>
                    <pic:cNvPicPr/>
                  </pic:nvPicPr>
                  <pic:blipFill rotWithShape="1">
                    <a:blip r:embed="rId11" cstate="print">
                      <a:extLst>
                        <a:ext uri="{28A0092B-C50C-407E-A947-70E740481C1C}">
                          <a14:useLocalDpi xmlns:a14="http://schemas.microsoft.com/office/drawing/2010/main" val="0"/>
                        </a:ext>
                      </a:extLst>
                    </a:blip>
                    <a:srcRect t="5566"/>
                    <a:stretch>
                      <a:fillRect/>
                    </a:stretch>
                  </pic:blipFill>
                  <pic:spPr bwMode="auto">
                    <a:xfrm>
                      <a:off x="0" y="0"/>
                      <a:ext cx="2971800" cy="969264"/>
                    </a:xfrm>
                    <a:prstGeom prst="rect">
                      <a:avLst/>
                    </a:prstGeom>
                    <a:ln>
                      <a:noFill/>
                    </a:ln>
                    <a:extLst>
                      <a:ext uri="{53640926-AAD7-44D8-BBD7-CCE9431645EC}">
                        <a14:shadowObscured xmlns:a14="http://schemas.microsoft.com/office/drawing/2010/main"/>
                      </a:ext>
                    </a:extLst>
                  </pic:spPr>
                </pic:pic>
              </a:graphicData>
            </a:graphic>
          </wp:inline>
        </w:drawing>
      </w:r>
    </w:p>
    <w:p w14:paraId="0EB6B976" w14:textId="6A789B86" w:rsidR="004D5034" w:rsidRPr="006E4EED" w:rsidRDefault="004D5034" w:rsidP="004D5034">
      <w:pPr>
        <w:pStyle w:val="BodyTextIndent"/>
        <w:contextualSpacing/>
        <w:jc w:val="center"/>
        <w:rPr>
          <w:i/>
          <w:iCs/>
        </w:rPr>
      </w:pPr>
      <w:bookmarkStart w:id="2" w:name="_Ref203556928"/>
      <w:r w:rsidRPr="00E41DE8">
        <w:rPr>
          <w:i/>
          <w:iCs/>
        </w:rPr>
        <w:t xml:space="preserve">Figure </w:t>
      </w:r>
      <w:bookmarkEnd w:id="2"/>
      <w:r w:rsidRPr="00E41DE8">
        <w:rPr>
          <w:i/>
          <w:iCs/>
        </w:rPr>
        <w:t>3</w:t>
      </w:r>
      <w:r w:rsidR="00E41DE8">
        <w:rPr>
          <w:i/>
          <w:iCs/>
        </w:rPr>
        <w:t>:</w:t>
      </w:r>
      <w:r w:rsidRPr="006E4EED">
        <w:rPr>
          <w:i/>
          <w:iCs/>
        </w:rPr>
        <w:t xml:space="preserve"> Linac-Arc Interface</w:t>
      </w:r>
    </w:p>
    <w:p w14:paraId="7D106948" w14:textId="5CA1530B" w:rsidR="0058650E" w:rsidRDefault="0058650E" w:rsidP="00EB5A45">
      <w:pPr>
        <w:pStyle w:val="BodyTextIndent"/>
        <w:contextualSpacing/>
      </w:pPr>
    </w:p>
    <w:p w14:paraId="3E241F85" w14:textId="78F7D9A6" w:rsidR="0058650E" w:rsidRPr="00636859" w:rsidRDefault="0058650E" w:rsidP="00EB5A45">
      <w:pPr>
        <w:pStyle w:val="BodyTextIndent"/>
        <w:contextualSpacing/>
      </w:pPr>
      <w:r w:rsidRPr="00636859">
        <w:t xml:space="preserve">There is one electron bunch, e1, and one positron bunch, p1, </w:t>
      </w:r>
      <w:r w:rsidRPr="00636859">
        <w:sym w:font="Symbol" w:char="F06C"/>
      </w:r>
      <w:r w:rsidRPr="00636859">
        <w:rPr>
          <w:vertAlign w:val="subscript"/>
        </w:rPr>
        <w:t>Linac</w:t>
      </w:r>
      <w:r w:rsidRPr="00636859">
        <w:t xml:space="preserve">/2 behind, accelerating into the </w:t>
      </w:r>
      <w:r>
        <w:t>arc</w:t>
      </w:r>
      <w:r w:rsidRPr="00636859">
        <w:t xml:space="preserve"> coming from the damping rings</w:t>
      </w:r>
      <w:r>
        <w:t xml:space="preserve">. </w:t>
      </w:r>
      <w:r w:rsidRPr="00636859">
        <w:t xml:space="preserve">There is one positron bunch, p2, and one electron bunch, e2, </w:t>
      </w:r>
      <w:r w:rsidRPr="00636859">
        <w:sym w:font="Symbol" w:char="F06C"/>
      </w:r>
      <w:r w:rsidRPr="00636859">
        <w:rPr>
          <w:vertAlign w:val="subscript"/>
        </w:rPr>
        <w:t>Linac</w:t>
      </w:r>
      <w:r w:rsidRPr="00636859">
        <w:t xml:space="preserve">/2 behind, decelerating into the </w:t>
      </w:r>
      <w:r>
        <w:t>arc</w:t>
      </w:r>
      <w:r w:rsidRPr="00636859">
        <w:t xml:space="preserve"> coming from the IP superposed on e1 and p1</w:t>
      </w:r>
      <w:r>
        <w:t>with a</w:t>
      </w:r>
      <w:r w:rsidRPr="00636859">
        <w:t>ll the bunches hav</w:t>
      </w:r>
      <w:r>
        <w:t>ing</w:t>
      </w:r>
      <w:r w:rsidRPr="00636859">
        <w:t xml:space="preserve"> the same energy</w:t>
      </w:r>
      <w:r>
        <w:t xml:space="preserve">. </w:t>
      </w:r>
      <w:r w:rsidRPr="00636859">
        <w:t>A horizontal dipole bends the electrons left and the positrons right by an equal angle</w:t>
      </w:r>
      <w:r>
        <w:t>, t</w:t>
      </w:r>
      <w:r w:rsidRPr="00636859">
        <w:t>he bunches enter</w:t>
      </w:r>
      <w:r>
        <w:t>ing</w:t>
      </w:r>
      <w:r w:rsidRPr="00636859">
        <w:t xml:space="preserve"> the </w:t>
      </w:r>
      <w:r>
        <w:t xml:space="preserve">arc with </w:t>
      </w:r>
      <w:r w:rsidRPr="00636859">
        <w:t xml:space="preserve">electrons </w:t>
      </w:r>
      <w:r>
        <w:t xml:space="preserve">going </w:t>
      </w:r>
      <w:r w:rsidRPr="00636859">
        <w:t>clockwise, positrons counterclockwise</w:t>
      </w:r>
      <w:r>
        <w:t xml:space="preserve">. </w:t>
      </w:r>
      <w:r w:rsidRPr="00636859">
        <w:t xml:space="preserve">To avoid collisions in the </w:t>
      </w:r>
      <w:r>
        <w:t>arc</w:t>
      </w:r>
      <w:r w:rsidRPr="00636859">
        <w:t>s, helical orbits are initiated:</w:t>
      </w:r>
      <w:r>
        <w:t xml:space="preserve"> first a h</w:t>
      </w:r>
      <w:r w:rsidRPr="00636859">
        <w:t xml:space="preserve">orizontal RF kick followed by a vertical RF kick for the electrons </w:t>
      </w:r>
      <w:r w:rsidRPr="00636859">
        <w:sym w:font="Symbol" w:char="F06C"/>
      </w:r>
      <w:proofErr w:type="spellStart"/>
      <w:r w:rsidRPr="00636859">
        <w:rPr>
          <w:vertAlign w:val="subscript"/>
        </w:rPr>
        <w:t>betatron</w:t>
      </w:r>
      <w:proofErr w:type="spellEnd"/>
      <w:r w:rsidRPr="00636859">
        <w:t>/2 downstream</w:t>
      </w:r>
      <w:r>
        <w:t>, then a v</w:t>
      </w:r>
      <w:r w:rsidRPr="00636859">
        <w:t xml:space="preserve">ertical RF kick followed by a horizontal RF kick for the positrons </w:t>
      </w:r>
      <w:r w:rsidRPr="00636859">
        <w:sym w:font="Symbol" w:char="F06C"/>
      </w:r>
      <w:proofErr w:type="spellStart"/>
      <w:r w:rsidRPr="00636859">
        <w:rPr>
          <w:vertAlign w:val="subscript"/>
        </w:rPr>
        <w:t>betatron</w:t>
      </w:r>
      <w:proofErr w:type="spellEnd"/>
      <w:r w:rsidRPr="00636859">
        <w:t xml:space="preserve"> /2 downstream</w:t>
      </w:r>
      <w:r>
        <w:t xml:space="preserve">. </w:t>
      </w:r>
    </w:p>
    <w:p w14:paraId="0ADA1307" w14:textId="19D10554" w:rsidR="0058650E" w:rsidRDefault="0058650E" w:rsidP="00EB5A45">
      <w:pPr>
        <w:pStyle w:val="BodyTextIndent"/>
        <w:contextualSpacing/>
      </w:pPr>
      <w:r>
        <w:t xml:space="preserve">After </w:t>
      </w:r>
      <w:r w:rsidRPr="00636859">
        <w:t xml:space="preserve">traversing the </w:t>
      </w:r>
      <w:r>
        <w:t>arc</w:t>
      </w:r>
      <w:r w:rsidRPr="00636859">
        <w:t>, the helical orbits of the electrons and positrons are closed by the RF kickers if the distance around the ARC is exactly (n+½)</w:t>
      </w:r>
      <w:r w:rsidRPr="00636859">
        <w:sym w:font="Symbol" w:char="F06C"/>
      </w:r>
      <w:r w:rsidRPr="00636859">
        <w:rPr>
          <w:vertAlign w:val="subscript"/>
        </w:rPr>
        <w:t>kick</w:t>
      </w:r>
      <w:r w:rsidRPr="00636859">
        <w:t xml:space="preserve"> measured between the horizontal RF kickers or the vertical RF kickers</w:t>
      </w:r>
      <w:r>
        <w:t>.</w:t>
      </w:r>
      <w:r w:rsidRPr="00636859">
        <w:t xml:space="preserve"> </w:t>
      </w:r>
    </w:p>
    <w:p w14:paraId="6B18A19F" w14:textId="5765A938" w:rsidR="0058650E" w:rsidRPr="00636859" w:rsidRDefault="004D5034" w:rsidP="00EB5A45">
      <w:pPr>
        <w:pStyle w:val="BodyTextIndent"/>
        <w:contextualSpacing/>
      </w:pPr>
      <w:r>
        <w:rPr>
          <w:noProof/>
        </w:rPr>
        <mc:AlternateContent>
          <mc:Choice Requires="wps">
            <w:drawing>
              <wp:anchor distT="0" distB="0" distL="114300" distR="114300" simplePos="0" relativeHeight="251672064" behindDoc="0" locked="0" layoutInCell="1" allowOverlap="1" wp14:anchorId="68CF6B6B" wp14:editId="089E5175">
                <wp:simplePos x="0" y="0"/>
                <wp:positionH relativeFrom="column">
                  <wp:posOffset>3261360</wp:posOffset>
                </wp:positionH>
                <wp:positionV relativeFrom="paragraph">
                  <wp:posOffset>411480</wp:posOffset>
                </wp:positionV>
                <wp:extent cx="3022600" cy="1441450"/>
                <wp:effectExtent l="0" t="0" r="0" b="0"/>
                <wp:wrapSquare wrapText="bothSides"/>
                <wp:docPr id="1128816875" name="Text Box 1"/>
                <wp:cNvGraphicFramePr/>
                <a:graphic xmlns:a="http://schemas.openxmlformats.org/drawingml/2006/main">
                  <a:graphicData uri="http://schemas.microsoft.com/office/word/2010/wordprocessingShape">
                    <wps:wsp>
                      <wps:cNvSpPr txBox="1"/>
                      <wps:spPr>
                        <a:xfrm>
                          <a:off x="0" y="0"/>
                          <a:ext cx="3022600" cy="1441450"/>
                        </a:xfrm>
                        <a:prstGeom prst="rect">
                          <a:avLst/>
                        </a:prstGeom>
                        <a:noFill/>
                        <a:ln w="6350">
                          <a:noFill/>
                        </a:ln>
                      </wps:spPr>
                      <wps:txbx>
                        <w:txbxContent>
                          <w:p w14:paraId="7BB2E97E" w14:textId="77777777" w:rsidR="00D1643F" w:rsidRDefault="00D1643F" w:rsidP="00D1643F">
                            <w:pPr>
                              <w:pStyle w:val="Caption"/>
                              <w:rPr>
                                <w:sz w:val="24"/>
                                <w:szCs w:val="24"/>
                              </w:rPr>
                            </w:pPr>
                            <w:r>
                              <w:rPr>
                                <w:noProof/>
                                <w:sz w:val="24"/>
                                <w:szCs w:val="24"/>
                                <w14:ligatures w14:val="standardContextual"/>
                              </w:rPr>
                              <w:drawing>
                                <wp:inline distT="0" distB="0" distL="0" distR="0" wp14:anchorId="3A07A078" wp14:editId="35E8B225">
                                  <wp:extent cx="2971800" cy="1033272"/>
                                  <wp:effectExtent l="0" t="0" r="0" b="0"/>
                                  <wp:docPr id="1759771223" name="Picture 25" descr="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771223" name="Picture 25" descr="Diagram&#10;&#10;AI-generated content may be incorrect."/>
                                          <pic:cNvPicPr/>
                                        </pic:nvPicPr>
                                        <pic:blipFill rotWithShape="1">
                                          <a:blip r:embed="rId12">
                                            <a:extLst>
                                              <a:ext uri="{28A0092B-C50C-407E-A947-70E740481C1C}">
                                                <a14:useLocalDpi xmlns:a14="http://schemas.microsoft.com/office/drawing/2010/main" val="0"/>
                                              </a:ext>
                                            </a:extLst>
                                          </a:blip>
                                          <a:srcRect t="10124"/>
                                          <a:stretch>
                                            <a:fillRect/>
                                          </a:stretch>
                                        </pic:blipFill>
                                        <pic:spPr bwMode="auto">
                                          <a:xfrm>
                                            <a:off x="0" y="0"/>
                                            <a:ext cx="2971800" cy="1033272"/>
                                          </a:xfrm>
                                          <a:prstGeom prst="rect">
                                            <a:avLst/>
                                          </a:prstGeom>
                                          <a:ln>
                                            <a:noFill/>
                                          </a:ln>
                                          <a:extLst>
                                            <a:ext uri="{53640926-AAD7-44D8-BBD7-CCE9431645EC}">
                                              <a14:shadowObscured xmlns:a14="http://schemas.microsoft.com/office/drawing/2010/main"/>
                                            </a:ext>
                                          </a:extLst>
                                        </pic:spPr>
                                      </pic:pic>
                                    </a:graphicData>
                                  </a:graphic>
                                </wp:inline>
                              </w:drawing>
                            </w:r>
                          </w:p>
                          <w:p w14:paraId="19B46EB4" w14:textId="44354A2E" w:rsidR="00D1643F" w:rsidRPr="00D1643F" w:rsidRDefault="00D1643F" w:rsidP="00D1643F">
                            <w:pPr>
                              <w:pStyle w:val="Caption"/>
                              <w:rPr>
                                <w:i/>
                                <w:iCs/>
                                <w:szCs w:val="20"/>
                              </w:rPr>
                            </w:pPr>
                            <w:r w:rsidRPr="00D1643F">
                              <w:rPr>
                                <w:i/>
                                <w:iCs/>
                                <w:szCs w:val="20"/>
                              </w:rPr>
                              <w:t xml:space="preserve">Figure </w:t>
                            </w:r>
                            <w:r w:rsidR="004D5034">
                              <w:rPr>
                                <w:i/>
                                <w:iCs/>
                                <w:szCs w:val="20"/>
                              </w:rPr>
                              <w:t>4</w:t>
                            </w:r>
                            <w:r w:rsidRPr="00D1643F">
                              <w:rPr>
                                <w:i/>
                                <w:iCs/>
                                <w:szCs w:val="20"/>
                              </w:rPr>
                              <w:t xml:space="preserve"> The Linac-Chicane Interface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CF6B6B" id="Text Box 1" o:spid="_x0000_s1027" type="#_x0000_t202" style="position:absolute;left:0;text-align:left;margin-left:256.8pt;margin-top:32.4pt;width:238pt;height:113.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" filled="f" stroked="f" strokeweight=".5pt">
                <v:textbox>
                  <w:txbxContent>
                    <w:p w14:paraId="7BB2E97E" w14:textId="77777777" w:rsidR="00D1643F" w:rsidRDefault="00D1643F" w:rsidP="00D1643F">
                      <w:pPr>
                        <w:pStyle w:val="Caption"/>
                        <w:rPr>
                          <w:sz w:val="24"/>
                          <w:szCs w:val="24"/>
                        </w:rPr>
                      </w:pPr>
                      <w:r>
                        <w:rPr>
                          <w:noProof/>
                          <w:sz w:val="24"/>
                          <w:szCs w:val="24"/>
                          <w14:ligatures w14:val="standardContextual"/>
                        </w:rPr>
                        <w:drawing>
                          <wp:inline distT="0" distB="0" distL="0" distR="0" wp14:anchorId="3A07A078" wp14:editId="35E8B225">
                            <wp:extent cx="2971800" cy="1033272"/>
                            <wp:effectExtent l="0" t="0" r="0" b="0"/>
                            <wp:docPr id="1759771223" name="Picture 25" descr="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771223" name="Picture 25" descr="Diagram&#10;&#10;AI-generated content may be incorrect."/>
                                    <pic:cNvPicPr/>
                                  </pic:nvPicPr>
                                  <pic:blipFill rotWithShape="1">
                                    <a:blip r:embed="rId13">
                                      <a:extLst>
                                        <a:ext uri="{28A0092B-C50C-407E-A947-70E740481C1C}">
                                          <a14:useLocalDpi xmlns:a14="http://schemas.microsoft.com/office/drawing/2010/main" val="0"/>
                                        </a:ext>
                                      </a:extLst>
                                    </a:blip>
                                    <a:srcRect t="10124"/>
                                    <a:stretch>
                                      <a:fillRect/>
                                    </a:stretch>
                                  </pic:blipFill>
                                  <pic:spPr bwMode="auto">
                                    <a:xfrm>
                                      <a:off x="0" y="0"/>
                                      <a:ext cx="2971800" cy="1033272"/>
                                    </a:xfrm>
                                    <a:prstGeom prst="rect">
                                      <a:avLst/>
                                    </a:prstGeom>
                                    <a:ln>
                                      <a:noFill/>
                                    </a:ln>
                                    <a:extLst>
                                      <a:ext uri="{53640926-AAD7-44D8-BBD7-CCE9431645EC}">
                                        <a14:shadowObscured xmlns:a14="http://schemas.microsoft.com/office/drawing/2010/main"/>
                                      </a:ext>
                                    </a:extLst>
                                  </pic:spPr>
                                </pic:pic>
                              </a:graphicData>
                            </a:graphic>
                          </wp:inline>
                        </w:drawing>
                      </w:r>
                    </w:p>
                    <w:p w14:paraId="19B46EB4" w14:textId="44354A2E" w:rsidR="00D1643F" w:rsidRPr="00D1643F" w:rsidRDefault="00D1643F" w:rsidP="00D1643F">
                      <w:pPr>
                        <w:pStyle w:val="Caption"/>
                        <w:rPr>
                          <w:i/>
                          <w:iCs/>
                          <w:szCs w:val="20"/>
                        </w:rPr>
                      </w:pPr>
                      <w:r w:rsidRPr="00D1643F">
                        <w:rPr>
                          <w:i/>
                          <w:iCs/>
                          <w:szCs w:val="20"/>
                        </w:rPr>
                        <w:t xml:space="preserve">Figure </w:t>
                      </w:r>
                      <w:r w:rsidR="004D5034">
                        <w:rPr>
                          <w:i/>
                          <w:iCs/>
                          <w:szCs w:val="20"/>
                        </w:rPr>
                        <w:t>4</w:t>
                      </w:r>
                      <w:r w:rsidRPr="00D1643F">
                        <w:rPr>
                          <w:i/>
                          <w:iCs/>
                          <w:szCs w:val="20"/>
                        </w:rPr>
                        <w:t xml:space="preserve"> The Linac-Chicane Interface</w:t>
                      </w:r>
                    </w:p>
                  </w:txbxContent>
                </v:textbox>
                <w10:wrap type="square"/>
              </v:shape>
            </w:pict>
          </mc:Fallback>
        </mc:AlternateContent>
      </w:r>
      <w:r w:rsidR="0058650E" w:rsidRPr="00636859">
        <w:t>The horizontal dipole again bends the electrons left and bending the positrons right, sending them both into the linac</w:t>
      </w:r>
      <w:r w:rsidR="0058650E">
        <w:t xml:space="preserve">. </w:t>
      </w:r>
      <w:r w:rsidR="0058650E" w:rsidRPr="00636859">
        <w:t xml:space="preserve">The phases of all the bunches will be correct in the Linac if the distance around the arc measured from the </w:t>
      </w:r>
      <w:r w:rsidR="005C6A89">
        <w:t>centre</w:t>
      </w:r>
      <w:r w:rsidR="0058650E" w:rsidRPr="00636859">
        <w:t xml:space="preserve"> of the last RF cell in the linac back to the </w:t>
      </w:r>
      <w:r w:rsidR="005C6A89">
        <w:t>centre</w:t>
      </w:r>
      <w:r w:rsidR="0058650E" w:rsidRPr="00636859">
        <w:t xml:space="preserve"> of the last cell in the RF linac is exactly (n+½) </w:t>
      </w:r>
      <w:r w:rsidR="0058650E" w:rsidRPr="00636859">
        <w:sym w:font="Symbol" w:char="F06C"/>
      </w:r>
      <w:r w:rsidR="0058650E" w:rsidRPr="00636859">
        <w:rPr>
          <w:vertAlign w:val="subscript"/>
        </w:rPr>
        <w:t>Linac</w:t>
      </w:r>
      <w:r w:rsidR="0058650E">
        <w:t xml:space="preserve">. </w:t>
      </w:r>
    </w:p>
    <w:p w14:paraId="2AFD45CD" w14:textId="02A7F2EC" w:rsidR="0058650E" w:rsidRPr="00C072CC" w:rsidRDefault="0058650E" w:rsidP="00AB578D">
      <w:pPr>
        <w:pStyle w:val="JACoWSubsectionHeading"/>
      </w:pPr>
      <w:r w:rsidRPr="00C072CC">
        <w:t>Arc Energy Replacement</w:t>
      </w:r>
    </w:p>
    <w:p w14:paraId="516B98AC" w14:textId="77777777" w:rsidR="0058650E" w:rsidRDefault="0058650E" w:rsidP="00EB5A45">
      <w:pPr>
        <w:pStyle w:val="BodyTextIndent"/>
        <w:contextualSpacing/>
      </w:pPr>
      <w:r w:rsidRPr="00C072CC">
        <w:t xml:space="preserve">Both the electrons and positrons lose energy in the </w:t>
      </w:r>
      <w:r>
        <w:t>a</w:t>
      </w:r>
      <w:r w:rsidRPr="00C072CC">
        <w:t>rcs</w:t>
      </w:r>
      <w:r>
        <w:t xml:space="preserve">. </w:t>
      </w:r>
      <w:r w:rsidRPr="00C072CC">
        <w:t xml:space="preserve">The two electron bunches in each </w:t>
      </w:r>
      <w:r>
        <w:t>a</w:t>
      </w:r>
      <w:r w:rsidRPr="00C072CC">
        <w:t xml:space="preserve">rc are separated by </w:t>
      </w:r>
      <w:r w:rsidRPr="00C072CC">
        <w:rPr>
          <w:rFonts w:ascii="Cambria Math" w:hAnsi="Cambria Math" w:cs="Cambria Math"/>
        </w:rPr>
        <w:t>𝜆</w:t>
      </w:r>
      <w:r w:rsidRPr="00C072CC">
        <w:rPr>
          <w:vertAlign w:val="subscript"/>
        </w:rPr>
        <w:t xml:space="preserve">Linac </w:t>
      </w:r>
      <w:r w:rsidRPr="00C072CC">
        <w:t>/2</w:t>
      </w:r>
      <w:r>
        <w:t xml:space="preserve"> and t</w:t>
      </w:r>
      <w:r w:rsidRPr="00C072CC">
        <w:t xml:space="preserve">he two positron bunches in each </w:t>
      </w:r>
      <w:r>
        <w:t>a</w:t>
      </w:r>
      <w:r w:rsidRPr="00C072CC">
        <w:t xml:space="preserve">rc are </w:t>
      </w:r>
      <w:r>
        <w:t xml:space="preserve">also </w:t>
      </w:r>
      <w:r w:rsidRPr="00C072CC">
        <w:t xml:space="preserve">separated by </w:t>
      </w:r>
      <w:r w:rsidRPr="00C072CC">
        <w:rPr>
          <w:rFonts w:ascii="Cambria Math" w:hAnsi="Cambria Math" w:cs="Cambria Math"/>
        </w:rPr>
        <w:t>𝜆</w:t>
      </w:r>
      <w:r w:rsidRPr="00C072CC">
        <w:rPr>
          <w:vertAlign w:val="subscript"/>
        </w:rPr>
        <w:t xml:space="preserve">Linac </w:t>
      </w:r>
      <w:r w:rsidRPr="00C072CC">
        <w:t>/2</w:t>
      </w:r>
      <w:r>
        <w:t>. In both cases, o</w:t>
      </w:r>
      <w:r w:rsidRPr="00C072CC">
        <w:t xml:space="preserve">ne </w:t>
      </w:r>
      <w:r>
        <w:t xml:space="preserve">is </w:t>
      </w:r>
      <w:r w:rsidRPr="00C072CC">
        <w:t xml:space="preserve">going to the </w:t>
      </w:r>
      <w:r>
        <w:t>IR, and</w:t>
      </w:r>
      <w:r w:rsidRPr="00C072CC">
        <w:t xml:space="preserve"> one </w:t>
      </w:r>
      <w:r>
        <w:t xml:space="preserve">is </w:t>
      </w:r>
      <w:r w:rsidRPr="00C072CC">
        <w:t>coming from the IR</w:t>
      </w:r>
      <w:r>
        <w:t xml:space="preserve">. </w:t>
      </w:r>
      <w:r w:rsidRPr="00C072CC">
        <w:t xml:space="preserve">Since all the bunches lose energy in the </w:t>
      </w:r>
      <w:r>
        <w:t>arc</w:t>
      </w:r>
      <w:r w:rsidRPr="00C072CC">
        <w:t>s, an RF system must accelerate both bunches</w:t>
      </w:r>
      <w:r>
        <w:t xml:space="preserve"> without an energy “chirp.” </w:t>
      </w:r>
    </w:p>
    <w:p w14:paraId="27CCD81A" w14:textId="77777777" w:rsidR="0058650E" w:rsidRPr="00C072CC" w:rsidRDefault="0058650E" w:rsidP="00EB5A45">
      <w:pPr>
        <w:pStyle w:val="BodyTextIndent"/>
        <w:contextualSpacing/>
      </w:pPr>
      <w:r>
        <w:t>The p</w:t>
      </w:r>
      <w:r w:rsidRPr="00C072CC">
        <w:t>roposed solution</w:t>
      </w:r>
      <w:r>
        <w:t xml:space="preserve"> is an</w:t>
      </w:r>
      <w:r w:rsidRPr="00C072CC">
        <w:t xml:space="preserve"> RF system at 325 MHz</w:t>
      </w:r>
      <w:r>
        <w:t xml:space="preserve"> (the fourth subharmonic of the linac frequency)</w:t>
      </w:r>
      <w:r w:rsidRPr="00C072CC">
        <w:t xml:space="preserve"> plus a second harmonic RF system at 650 MHz, 180° out of phase</w:t>
      </w:r>
      <w:r>
        <w:t xml:space="preserve">. The </w:t>
      </w:r>
      <w:r>
        <w:t>d</w:t>
      </w:r>
      <w:r w:rsidRPr="00C072CC">
        <w:t xml:space="preserve">isadvantage </w:t>
      </w:r>
      <w:r>
        <w:t>is that</w:t>
      </w:r>
      <w:r w:rsidRPr="00C072CC">
        <w:t xml:space="preserve"> </w:t>
      </w:r>
      <w:r>
        <w:t xml:space="preserve">it </w:t>
      </w:r>
      <w:r w:rsidRPr="00C072CC">
        <w:t>takes more power</w:t>
      </w:r>
      <w:r>
        <w:t xml:space="preserve">: </w:t>
      </w:r>
      <w:r w:rsidRPr="00C072CC">
        <w:t>1.33 x voltage at 325 MHz</w:t>
      </w:r>
      <w:r>
        <w:t xml:space="preserve"> </w:t>
      </w:r>
      <w:r w:rsidRPr="00C072CC">
        <w:t>+ 0.33 x voltage at 650 MHz</w:t>
      </w:r>
      <w:r>
        <w:t>, a</w:t>
      </w:r>
      <w:r w:rsidRPr="00C072CC">
        <w:t xml:space="preserve"> total of 11</w:t>
      </w:r>
      <w:r>
        <w:t> </w:t>
      </w:r>
      <w:r w:rsidRPr="00C072CC">
        <w:t>GV/</w:t>
      </w:r>
      <w:r>
        <w:t>a</w:t>
      </w:r>
      <w:r w:rsidRPr="00C072CC">
        <w:t>rc</w:t>
      </w:r>
      <w:r>
        <w:t xml:space="preserve">. </w:t>
      </w:r>
    </w:p>
    <w:p w14:paraId="788B1A36" w14:textId="5395D2E4" w:rsidR="0058650E" w:rsidRDefault="0058650E" w:rsidP="00EB5A45">
      <w:pPr>
        <w:pStyle w:val="BodyTextIndent"/>
        <w:contextualSpacing/>
      </w:pPr>
      <w:r w:rsidRPr="00DF05E1">
        <w:t xml:space="preserve">The </w:t>
      </w:r>
      <w:r>
        <w:t>arc</w:t>
      </w:r>
      <w:r w:rsidRPr="00DF05E1">
        <w:t xml:space="preserve"> RF is 325 MHz with parameters of LEP scaled from 352 MHz </w:t>
      </w:r>
      <w:r w:rsidR="00B32C01">
        <w:rPr>
          <w:noProof/>
        </w:rPr>
        <w:t>[9]</w:t>
      </w:r>
      <w:r>
        <w:t xml:space="preserve">. The </w:t>
      </w:r>
      <w:r w:rsidRPr="00DF05E1">
        <w:t>LEP cryomodule</w:t>
      </w:r>
      <w:r>
        <w:t xml:space="preserve"> operates at</w:t>
      </w:r>
      <w:r w:rsidRPr="00DF05E1">
        <w:t xml:space="preserve"> </w:t>
      </w:r>
      <w:r w:rsidR="005E78D2">
        <w:t>7.5 </w:t>
      </w:r>
      <w:r w:rsidRPr="00DF05E1">
        <w:t>MV/m,</w:t>
      </w:r>
      <w:r>
        <w:t xml:space="preserve"> providing</w:t>
      </w:r>
      <w:r w:rsidRPr="00DF05E1">
        <w:t xml:space="preserve"> 102 MV per cryomodule with Q</w:t>
      </w:r>
      <w:r w:rsidRPr="00DF05E1">
        <w:rPr>
          <w:vertAlign w:val="subscript"/>
        </w:rPr>
        <w:t>0</w:t>
      </w:r>
      <w:r w:rsidR="00D532DB">
        <w:t> </w:t>
      </w:r>
      <w:r w:rsidRPr="00DF05E1">
        <w:t>=</w:t>
      </w:r>
      <w:r w:rsidR="00D532DB">
        <w:t> </w:t>
      </w:r>
      <w:r w:rsidRPr="00DF05E1">
        <w:t>3</w:t>
      </w:r>
      <w:r w:rsidR="00D532DB">
        <w:t> </w:t>
      </w:r>
      <w:r w:rsidRPr="00DF05E1">
        <w:t>x</w:t>
      </w:r>
      <w:r w:rsidR="00D532DB">
        <w:t> </w:t>
      </w:r>
      <w:r w:rsidRPr="00DF05E1">
        <w:t>10</w:t>
      </w:r>
      <w:r w:rsidRPr="00DF05E1">
        <w:rPr>
          <w:vertAlign w:val="superscript"/>
        </w:rPr>
        <w:t xml:space="preserve">9 </w:t>
      </w:r>
      <w:r w:rsidRPr="00DF05E1">
        <w:t>@ 4.5 K, 12 m</w:t>
      </w:r>
      <w:r>
        <w:t xml:space="preserve"> </w:t>
      </w:r>
      <w:r w:rsidRPr="00DF05E1">
        <w:t>l</w:t>
      </w:r>
      <w:r>
        <w:t>ong</w:t>
      </w:r>
      <w:r w:rsidRPr="00DF05E1">
        <w:t xml:space="preserve"> </w:t>
      </w:r>
      <w:r>
        <w:t>and with a f</w:t>
      </w:r>
      <w:r w:rsidRPr="00DF05E1">
        <w:t xml:space="preserve">illing factor </w:t>
      </w:r>
      <w:r>
        <w:t>of</w:t>
      </w:r>
      <w:r w:rsidRPr="00DF05E1">
        <w:t xml:space="preserve"> 80%</w:t>
      </w:r>
      <w:r>
        <w:t>. The 650MHz cryomodules are the PIP-II high-beta design</w:t>
      </w:r>
      <w:sdt>
        <w:sdtPr>
          <w:id w:val="-562182140"/>
          <w:citation/>
        </w:sdtPr>
        <w:sdtEndPr/>
        <w:sdtContent>
          <w:r>
            <w:fldChar w:fldCharType="begin"/>
          </w:r>
          <w:r>
            <w:instrText xml:space="preserve"> CITATION Gen20 \l 1033 </w:instrText>
          </w:r>
          <w:r>
            <w:fldChar w:fldCharType="separate"/>
          </w:r>
          <w:r w:rsidR="000C0A7E">
            <w:rPr>
              <w:noProof/>
            </w:rPr>
            <w:t xml:space="preserve"> [10]</w:t>
          </w:r>
          <w:r>
            <w:fldChar w:fldCharType="end"/>
          </w:r>
        </w:sdtContent>
      </w:sdt>
      <w:r>
        <w:t>, operating at 18.7 MV/m providing 119 MV with a Q</w:t>
      </w:r>
      <w:r w:rsidRPr="00397FF6">
        <w:rPr>
          <w:vertAlign w:val="subscript"/>
        </w:rPr>
        <w:t>0</w:t>
      </w:r>
      <w:r>
        <w:t xml:space="preserve"> of 3.3 x 10</w:t>
      </w:r>
      <w:r w:rsidRPr="00397FF6">
        <w:rPr>
          <w:vertAlign w:val="superscript"/>
        </w:rPr>
        <w:t>10</w:t>
      </w:r>
      <w:r>
        <w:t xml:space="preserve"> @ 2 K, and are 10 meters long. </w:t>
      </w:r>
    </w:p>
    <w:p w14:paraId="0B796F60" w14:textId="77777777" w:rsidR="0058650E" w:rsidRDefault="0058650E" w:rsidP="00EB5A45">
      <w:pPr>
        <w:pStyle w:val="BodyTextIndent"/>
        <w:contextualSpacing/>
      </w:pPr>
      <w:r w:rsidRPr="00DF05E1">
        <w:t>Using the scaled LEP cavities</w:t>
      </w:r>
      <w:r>
        <w:t xml:space="preserve"> with</w:t>
      </w:r>
      <w:r w:rsidRPr="00DF05E1">
        <w:t xml:space="preserve"> eight 4-cell cavities per cryomodule</w:t>
      </w:r>
      <w:r>
        <w:t>, the a</w:t>
      </w:r>
      <w:r w:rsidRPr="00DF05E1">
        <w:t xml:space="preserve">rc cryomodule </w:t>
      </w:r>
      <w:r>
        <w:t xml:space="preserve">has a </w:t>
      </w:r>
      <w:r w:rsidRPr="00DF05E1">
        <w:t xml:space="preserve">total length </w:t>
      </w:r>
      <w:r>
        <w:t>of</w:t>
      </w:r>
      <w:r w:rsidRPr="00DF05E1">
        <w:t xml:space="preserve"> 13.9 m</w:t>
      </w:r>
      <w:r>
        <w:t xml:space="preserve"> and the a</w:t>
      </w:r>
      <w:r w:rsidRPr="00DF05E1">
        <w:t xml:space="preserve">rc cryomodule energy gain </w:t>
      </w:r>
      <w:r>
        <w:t>is</w:t>
      </w:r>
      <w:r w:rsidRPr="00DF05E1">
        <w:t xml:space="preserve"> 110 MV</w:t>
      </w:r>
      <w:r>
        <w:t xml:space="preserve">. </w:t>
      </w:r>
      <w:r w:rsidRPr="00DF05E1">
        <w:t xml:space="preserve">Each RF system requires </w:t>
      </w:r>
      <w:r>
        <w:t>about</w:t>
      </w:r>
      <w:r w:rsidRPr="00DF05E1">
        <w:t xml:space="preserve"> 50 cryomodules</w:t>
      </w:r>
      <w:r>
        <w:t>, which take up</w:t>
      </w:r>
      <w:r w:rsidRPr="00DF05E1">
        <w:t xml:space="preserve"> 695 </w:t>
      </w:r>
      <w:r>
        <w:t xml:space="preserve">m; the </w:t>
      </w:r>
      <w:r w:rsidRPr="00DF05E1">
        <w:t>650 MHz cavities are about 25% of this length</w:t>
      </w:r>
      <w:r>
        <w:t xml:space="preserve">. The total </w:t>
      </w:r>
      <w:r w:rsidRPr="00DF05E1">
        <w:t>length</w:t>
      </w:r>
      <w:r>
        <w:t xml:space="preserve"> required to accommodate each arc RF system is</w:t>
      </w:r>
      <w:r w:rsidRPr="00DF05E1">
        <w:t xml:space="preserve"> 6.645 km</w:t>
      </w:r>
      <w:r>
        <w:t xml:space="preserve"> divided into two stations, one in each straight section. </w:t>
      </w:r>
    </w:p>
    <w:p w14:paraId="11C6244B" w14:textId="77777777" w:rsidR="00D1643F" w:rsidRPr="00D1643F" w:rsidRDefault="00D1643F" w:rsidP="00D1643F">
      <w:pPr>
        <w:spacing w:before="240" w:after="120"/>
        <w:jc w:val="both"/>
        <w:rPr>
          <w:rFonts w:cs="Arial"/>
          <w:bCs/>
          <w:i/>
          <w:sz w:val="24"/>
          <w:szCs w:val="26"/>
        </w:rPr>
      </w:pPr>
      <w:r w:rsidRPr="00D1643F">
        <w:rPr>
          <w:rFonts w:cs="Arial"/>
          <w:bCs/>
          <w:i/>
          <w:sz w:val="24"/>
          <w:szCs w:val="26"/>
        </w:rPr>
        <w:t>The Linac-Chicane Interface</w:t>
      </w:r>
    </w:p>
    <w:p w14:paraId="796B0E76" w14:textId="23789ECB" w:rsidR="00D1643F" w:rsidRDefault="00D1643F" w:rsidP="00D1643F">
      <w:pPr>
        <w:pStyle w:val="BodyTextIndent"/>
      </w:pPr>
      <w:r>
        <w:t xml:space="preserve">The linac-chicane interface is the most complex section of the Ghost Collider because on either side of the IP, there are two low-energy injected bunches and two low-energy extracted bunches which share two beamlines, two high-energy bunches going towards the IP and two high-energy bunches coming from the IP. </w:t>
      </w:r>
    </w:p>
    <w:p w14:paraId="1B16AE12" w14:textId="4946D4C3" w:rsidR="00D1643F" w:rsidRPr="006024D5" w:rsidRDefault="00D1643F" w:rsidP="00D1643F">
      <w:pPr>
        <w:pStyle w:val="BodyTextIndent"/>
      </w:pPr>
      <w:r>
        <w:t>The low energy bunches can be extracted/injected from the linac with a simple dipole leaving the high energy particles almost unaffected (they are a factor 55 more energetic). The</w:t>
      </w:r>
      <w:r w:rsidRPr="006024D5">
        <w:t xml:space="preserve"> low</w:t>
      </w:r>
      <w:r>
        <w:t>-</w:t>
      </w:r>
      <w:r w:rsidRPr="006024D5">
        <w:t>field dipole extracts electrons to the right and positrons to the left</w:t>
      </w:r>
      <w:r>
        <w:t xml:space="preserve">. </w:t>
      </w:r>
      <w:r w:rsidRPr="006024D5">
        <w:t>The same magnets inject positrons from the right and electrons from the left</w:t>
      </w:r>
      <w:r>
        <w:t xml:space="preserve">, so helical orbits will probably be needed in the injection/extraction beamlines. </w:t>
      </w:r>
    </w:p>
    <w:p w14:paraId="50209CEA" w14:textId="7219A32E" w:rsidR="00D1643F" w:rsidRDefault="00D1643F" w:rsidP="00D1643F">
      <w:pPr>
        <w:pStyle w:val="BodyTextIndent"/>
      </w:pPr>
      <w:r>
        <w:t xml:space="preserve">Separating the electrons and positrons going towards the IP and recombining the electrons and positrons coming from the IP requires both dipoles and RF separators. </w:t>
      </w:r>
    </w:p>
    <w:p w14:paraId="626CEDB9" w14:textId="68FAFBC1" w:rsidR="00D1643F" w:rsidRDefault="00D1643F" w:rsidP="00D1643F">
      <w:pPr>
        <w:pStyle w:val="BodyTextIndent"/>
      </w:pPr>
      <w:r w:rsidRPr="006024D5">
        <w:t xml:space="preserve">A common </w:t>
      </w:r>
      <w:r>
        <w:t>RF kicker</w:t>
      </w:r>
      <w:r w:rsidRPr="006024D5">
        <w:t xml:space="preserve"> cannot deflect outgoing positrons left and incoming positrons right</w:t>
      </w:r>
      <w:r>
        <w:t xml:space="preserve">, so both </w:t>
      </w:r>
      <w:r w:rsidRPr="006024D5">
        <w:t xml:space="preserve">an RF kicker </w:t>
      </w:r>
      <w:r>
        <w:t>and a septum magnet</w:t>
      </w:r>
      <w:r w:rsidRPr="006024D5">
        <w:t xml:space="preserve"> are required</w:t>
      </w:r>
      <w:r>
        <w:t xml:space="preserve">. The detailed layout of the separator/recombiner region is shown in </w:t>
      </w:r>
      <w:r w:rsidR="0072606E">
        <w:t xml:space="preserve">Fig. </w:t>
      </w:r>
      <w:r>
        <w:t xml:space="preserve">4. </w:t>
      </w:r>
    </w:p>
    <w:p w14:paraId="4F1A4F49" w14:textId="2547929A" w:rsidR="00D1643F" w:rsidRPr="00D1643F" w:rsidRDefault="004566EB" w:rsidP="00D1643F">
      <w:pPr>
        <w:spacing w:before="240" w:after="120"/>
        <w:jc w:val="both"/>
        <w:rPr>
          <w:rFonts w:cs="Arial"/>
          <w:bCs/>
          <w:i/>
          <w:sz w:val="24"/>
          <w:szCs w:val="26"/>
        </w:rPr>
      </w:pPr>
      <w:r w:rsidRPr="00006990">
        <w:rPr>
          <w:noProof/>
          <w14:ligatures w14:val="standardContextual"/>
        </w:rPr>
        <w:lastRenderedPageBreak/>
        <mc:AlternateContent>
          <mc:Choice Requires="wps">
            <w:drawing>
              <wp:anchor distT="0" distB="0" distL="114300" distR="114300" simplePos="0" relativeHeight="251675136" behindDoc="1" locked="0" layoutInCell="1" allowOverlap="1" wp14:anchorId="0A5794F8" wp14:editId="611349F7">
                <wp:simplePos x="0" y="0"/>
                <wp:positionH relativeFrom="column">
                  <wp:posOffset>3102610</wp:posOffset>
                </wp:positionH>
                <wp:positionV relativeFrom="paragraph">
                  <wp:posOffset>59055</wp:posOffset>
                </wp:positionV>
                <wp:extent cx="3054350" cy="3270250"/>
                <wp:effectExtent l="0" t="0" r="6350" b="6350"/>
                <wp:wrapTight wrapText="bothSides">
                  <wp:wrapPolygon edited="0">
                    <wp:start x="0" y="0"/>
                    <wp:lineTo x="0" y="21558"/>
                    <wp:lineTo x="21555" y="21558"/>
                    <wp:lineTo x="21555" y="0"/>
                    <wp:lineTo x="0" y="0"/>
                  </wp:wrapPolygon>
                </wp:wrapTight>
                <wp:docPr id="482269484" name="Text Box 19"/>
                <wp:cNvGraphicFramePr/>
                <a:graphic xmlns:a="http://schemas.openxmlformats.org/drawingml/2006/main">
                  <a:graphicData uri="http://schemas.microsoft.com/office/word/2010/wordprocessingShape">
                    <wps:wsp>
                      <wps:cNvSpPr txBox="1"/>
                      <wps:spPr>
                        <a:xfrm>
                          <a:off x="0" y="0"/>
                          <a:ext cx="3054350" cy="3270250"/>
                        </a:xfrm>
                        <a:prstGeom prst="rect">
                          <a:avLst/>
                        </a:prstGeom>
                        <a:solidFill>
                          <a:schemeClr val="lt1"/>
                        </a:solidFill>
                        <a:ln w="6350">
                          <a:noFill/>
                        </a:ln>
                      </wps:spPr>
                      <wps:txbx>
                        <w:txbxContent>
                          <w:p w14:paraId="2A45C26F" w14:textId="0358DC06" w:rsidR="00D1643F" w:rsidRDefault="00367357" w:rsidP="00D1643F">
                            <w:r>
                              <w:rPr>
                                <w:noProof/>
                                <w14:ligatures w14:val="standardContextual"/>
                              </w:rPr>
                              <w:drawing>
                                <wp:inline distT="0" distB="0" distL="0" distR="0" wp14:anchorId="02FD8A74" wp14:editId="5AD41A39">
                                  <wp:extent cx="2865120" cy="2996390"/>
                                  <wp:effectExtent l="0" t="0" r="0" b="1270"/>
                                  <wp:docPr id="136437853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4378536" name="Picture 1364378536"/>
                                          <pic:cNvPicPr/>
                                        </pic:nvPicPr>
                                        <pic:blipFill rotWithShape="1">
                                          <a:blip r:embed="rId14"/>
                                          <a:srcRect r="10628"/>
                                          <a:stretch>
                                            <a:fillRect/>
                                          </a:stretch>
                                        </pic:blipFill>
                                        <pic:spPr bwMode="auto">
                                          <a:xfrm>
                                            <a:off x="0" y="0"/>
                                            <a:ext cx="2865120" cy="2996390"/>
                                          </a:xfrm>
                                          <a:prstGeom prst="rect">
                                            <a:avLst/>
                                          </a:prstGeom>
                                          <a:ln>
                                            <a:noFill/>
                                          </a:ln>
                                          <a:extLst>
                                            <a:ext uri="{53640926-AAD7-44D8-BBD7-CCE9431645EC}">
                                              <a14:shadowObscured xmlns:a14="http://schemas.microsoft.com/office/drawing/2010/main"/>
                                            </a:ext>
                                          </a:extLst>
                                        </pic:spPr>
                                      </pic:pic>
                                    </a:graphicData>
                                  </a:graphic>
                                </wp:inline>
                              </w:drawing>
                            </w:r>
                          </w:p>
                          <w:p w14:paraId="5140F8A3" w14:textId="32C2A9C3" w:rsidR="00D1643F" w:rsidRPr="00006990" w:rsidRDefault="00367357" w:rsidP="00D1643F">
                            <w:pPr>
                              <w:rPr>
                                <w:i/>
                                <w:iCs/>
                              </w:rPr>
                            </w:pPr>
                            <w:r>
                              <w:rPr>
                                <w:i/>
                                <w:iCs/>
                              </w:rPr>
                              <w:t>Figure</w:t>
                            </w:r>
                            <w:r w:rsidR="00556652">
                              <w:rPr>
                                <w:i/>
                                <w:iCs/>
                              </w:rPr>
                              <w:t xml:space="preserve"> 5</w:t>
                            </w:r>
                            <w:r>
                              <w:rPr>
                                <w:i/>
                                <w:iCs/>
                              </w:rPr>
                              <w:t>: Four IPs – unique feature of the Ghost Collider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5794F8" id="Text Box 19" o:spid="_x0000_s1028" type="#_x0000_t202" style="position:absolute;left:0;text-align:left;margin-left:244.3pt;margin-top:4.65pt;width:240.5pt;height:257.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" fillcolor="white [3201]" stroked="f" strokeweight=".5pt">
                <v:textbox>
                  <w:txbxContent>
                    <w:p w14:paraId="2A45C26F" w14:textId="0358DC06" w:rsidR="00D1643F" w:rsidRDefault="00367357" w:rsidP="00D1643F">
                      <w:r>
                        <w:rPr>
                          <w:noProof/>
                          <w14:ligatures w14:val="standardContextual"/>
                        </w:rPr>
                        <w:drawing>
                          <wp:inline distT="0" distB="0" distL="0" distR="0" wp14:anchorId="02FD8A74" wp14:editId="5AD41A39">
                            <wp:extent cx="2865120" cy="2996390"/>
                            <wp:effectExtent l="0" t="0" r="0" b="1270"/>
                            <wp:docPr id="136437853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4378536" name="Picture 1364378536"/>
                                    <pic:cNvPicPr/>
                                  </pic:nvPicPr>
                                  <pic:blipFill rotWithShape="1">
                                    <a:blip r:embed="rId15"/>
                                    <a:srcRect r="10628"/>
                                    <a:stretch>
                                      <a:fillRect/>
                                    </a:stretch>
                                  </pic:blipFill>
                                  <pic:spPr bwMode="auto">
                                    <a:xfrm>
                                      <a:off x="0" y="0"/>
                                      <a:ext cx="2865120" cy="2996390"/>
                                    </a:xfrm>
                                    <a:prstGeom prst="rect">
                                      <a:avLst/>
                                    </a:prstGeom>
                                    <a:ln>
                                      <a:noFill/>
                                    </a:ln>
                                    <a:extLst>
                                      <a:ext uri="{53640926-AAD7-44D8-BBD7-CCE9431645EC}">
                                        <a14:shadowObscured xmlns:a14="http://schemas.microsoft.com/office/drawing/2010/main"/>
                                      </a:ext>
                                    </a:extLst>
                                  </pic:spPr>
                                </pic:pic>
                              </a:graphicData>
                            </a:graphic>
                          </wp:inline>
                        </w:drawing>
                      </w:r>
                    </w:p>
                    <w:p w14:paraId="5140F8A3" w14:textId="32C2A9C3" w:rsidR="00D1643F" w:rsidRPr="00006990" w:rsidRDefault="00367357" w:rsidP="00D1643F">
                      <w:pPr>
                        <w:rPr>
                          <w:i/>
                          <w:iCs/>
                        </w:rPr>
                      </w:pPr>
                      <w:r>
                        <w:rPr>
                          <w:i/>
                          <w:iCs/>
                        </w:rPr>
                        <w:t>Figure</w:t>
                      </w:r>
                      <w:r w:rsidR="00556652">
                        <w:rPr>
                          <w:i/>
                          <w:iCs/>
                        </w:rPr>
                        <w:t xml:space="preserve"> 5</w:t>
                      </w:r>
                      <w:r>
                        <w:rPr>
                          <w:i/>
                          <w:iCs/>
                        </w:rPr>
                        <w:t>: Four IPs – unique feature of the Ghost Collider</w:t>
                      </w:r>
                    </w:p>
                  </w:txbxContent>
                </v:textbox>
                <w10:wrap type="tight"/>
              </v:shape>
            </w:pict>
          </mc:Fallback>
        </mc:AlternateContent>
      </w:r>
      <w:r w:rsidR="00D1643F" w:rsidRPr="00D1643F">
        <w:rPr>
          <w:rFonts w:cs="Arial"/>
          <w:bCs/>
          <w:i/>
          <w:sz w:val="24"/>
          <w:szCs w:val="26"/>
        </w:rPr>
        <w:t>Chicanes</w:t>
      </w:r>
    </w:p>
    <w:p w14:paraId="3F608DB1" w14:textId="7892CCAF" w:rsidR="00D1643F" w:rsidRPr="00F846EF" w:rsidRDefault="00D1643F" w:rsidP="00D1643F">
      <w:pPr>
        <w:pStyle w:val="BodyTextIndent"/>
      </w:pPr>
      <w:r w:rsidRPr="00F846EF">
        <w:t>The chicanes delay the leading bunches so that they arrive at the IP at the same time</w:t>
      </w:r>
      <w:r>
        <w:t xml:space="preserve">. </w:t>
      </w:r>
    </w:p>
    <w:p w14:paraId="0BA2F6AD" w14:textId="77777777" w:rsidR="00D1643F" w:rsidRPr="00F846EF" w:rsidRDefault="00D1643F" w:rsidP="00D1643F">
      <w:pPr>
        <w:pStyle w:val="BodyTextIndent"/>
      </w:pPr>
      <w:r w:rsidRPr="00F846EF">
        <w:t>Two curved beamlines are required on either side</w:t>
      </w:r>
      <w:r>
        <w:t xml:space="preserve">, with positrons in the curved beamlines on the left and electrons in the curved beamlines on the right. </w:t>
      </w:r>
      <w:r w:rsidRPr="00F846EF">
        <w:t>Similarly, two straight beamlines are required on either side</w:t>
      </w:r>
      <w:r>
        <w:t xml:space="preserve">. </w:t>
      </w:r>
    </w:p>
    <w:p w14:paraId="05DDF81C" w14:textId="77777777" w:rsidR="00D1643F" w:rsidRPr="00F846EF" w:rsidRDefault="00D1643F" w:rsidP="00D1643F">
      <w:pPr>
        <w:pStyle w:val="BodyTextIndent"/>
      </w:pPr>
      <w:r w:rsidRPr="00F846EF">
        <w:t xml:space="preserve">The bunches all have the same energy at the end of the linacs </w:t>
      </w:r>
      <w:r>
        <w:t>(</w:t>
      </w:r>
      <w:r w:rsidRPr="00F846EF">
        <w:t>275 GeV</w:t>
      </w:r>
      <w:r>
        <w:t>), and t</w:t>
      </w:r>
      <w:r w:rsidRPr="00F846EF">
        <w:t xml:space="preserve">he bunches should all have the same energy at the IP </w:t>
      </w:r>
      <w:r>
        <w:t>(also</w:t>
      </w:r>
      <w:r w:rsidRPr="00F846EF">
        <w:t xml:space="preserve"> 275 GeV</w:t>
      </w:r>
      <w:r>
        <w:t xml:space="preserve">). </w:t>
      </w:r>
      <w:r w:rsidRPr="00F846EF">
        <w:t>The energy lost to synchrotron energy in the curved chicane must be replaced by RF</w:t>
      </w:r>
      <w:r>
        <w:t xml:space="preserve">, and the </w:t>
      </w:r>
      <w:r w:rsidRPr="00F846EF">
        <w:t xml:space="preserve">same 325 MHz cavities as the </w:t>
      </w:r>
      <w:r>
        <w:t>arc</w:t>
      </w:r>
      <w:r w:rsidRPr="00F846EF">
        <w:t>s</w:t>
      </w:r>
      <w:r>
        <w:t xml:space="preserve"> will be used. </w:t>
      </w:r>
    </w:p>
    <w:p w14:paraId="52DF0A64" w14:textId="735EF733" w:rsidR="00D1643F" w:rsidRDefault="00D1643F" w:rsidP="008D6A08">
      <w:pPr>
        <w:pStyle w:val="BodyTextIndent"/>
      </w:pPr>
      <w:r w:rsidRPr="007759C7">
        <w:t>The electrons and positrons should have the same energy at the IP, independent of whether they traverse the chicane or the straight beamline</w:t>
      </w:r>
      <w:r w:rsidR="008D6A08">
        <w:t>, so t</w:t>
      </w:r>
      <w:r w:rsidRPr="007759C7">
        <w:t>he chicane needs an RF system to replace the synchrotron radiation loss</w:t>
      </w:r>
      <w:r>
        <w:t xml:space="preserve">, </w:t>
      </w:r>
      <w:r w:rsidR="008D6A08">
        <w:t xml:space="preserve">adding </w:t>
      </w:r>
      <w:r w:rsidRPr="007759C7">
        <w:t>to the total length of the chican</w:t>
      </w:r>
      <w:r w:rsidR="008D6A08">
        <w:t>e</w:t>
      </w:r>
      <w:r>
        <w:t xml:space="preserve">. </w:t>
      </w:r>
    </w:p>
    <w:p w14:paraId="48EA8A7B" w14:textId="1D3E4761" w:rsidR="00D1643F" w:rsidRPr="005D0A24" w:rsidRDefault="00D1643F" w:rsidP="00D1643F">
      <w:pPr>
        <w:pStyle w:val="BodyTextIndent"/>
      </w:pPr>
      <w:r w:rsidRPr="005D0A24">
        <w:t>The design value chosen is R</w:t>
      </w:r>
      <w:r>
        <w:t> </w:t>
      </w:r>
      <w:r w:rsidRPr="005D0A24">
        <w:t>=</w:t>
      </w:r>
      <w:r>
        <w:t> 12 </w:t>
      </w:r>
      <w:r w:rsidRPr="005D0A24">
        <w:t>km</w:t>
      </w:r>
      <w:r>
        <w:t>, with a t</w:t>
      </w:r>
      <w:r w:rsidRPr="005D0A24">
        <w:t xml:space="preserve">otal </w:t>
      </w:r>
      <w:r>
        <w:t>c</w:t>
      </w:r>
      <w:r w:rsidRPr="005D0A24">
        <w:t xml:space="preserve">hicane </w:t>
      </w:r>
      <w:r>
        <w:t>l</w:t>
      </w:r>
      <w:r w:rsidRPr="005D0A24">
        <w:t xml:space="preserve">ength </w:t>
      </w:r>
      <w:r>
        <w:t>of</w:t>
      </w:r>
      <w:r w:rsidRPr="005D0A24">
        <w:t xml:space="preserve"> 2 km</w:t>
      </w:r>
      <w:r>
        <w:t xml:space="preserve"> and the s</w:t>
      </w:r>
      <w:r w:rsidRPr="005D0A24">
        <w:t xml:space="preserve">ynchrotron </w:t>
      </w:r>
      <w:r>
        <w:t>r</w:t>
      </w:r>
      <w:r w:rsidRPr="005D0A24">
        <w:t>adiation loss per curved chicane = 1 GeV</w:t>
      </w:r>
      <w:r>
        <w:t>. The b</w:t>
      </w:r>
      <w:r w:rsidRPr="005D0A24">
        <w:t xml:space="preserve">ending field </w:t>
      </w:r>
      <w:r>
        <w:t>is</w:t>
      </w:r>
      <w:r w:rsidRPr="005D0A24">
        <w:t xml:space="preserve"> </w:t>
      </w:r>
      <w:r>
        <w:t>1.54</w:t>
      </w:r>
      <w:r w:rsidRPr="005D0A24">
        <w:t xml:space="preserve"> T</w:t>
      </w:r>
      <w:r>
        <w:t>, well within the capability of warm dipole magnets. Note that electrons and positrons only traverse one curved chicane, either before or after collision.</w:t>
      </w:r>
    </w:p>
    <w:p w14:paraId="7637311C" w14:textId="4B03D0B2" w:rsidR="00D1643F" w:rsidRPr="00D1643F" w:rsidRDefault="00D1643F" w:rsidP="008D6A08">
      <w:pPr>
        <w:pStyle w:val="Heading3"/>
      </w:pPr>
      <w:r w:rsidRPr="00D1643F">
        <w:t>Interaction Regions and Interaction Points</w:t>
      </w:r>
    </w:p>
    <w:p w14:paraId="3E63F02A" w14:textId="556BBACB" w:rsidR="00D1643F" w:rsidRPr="00EC738E" w:rsidRDefault="00D1643F" w:rsidP="00367357">
      <w:pPr>
        <w:pStyle w:val="BodyTextIndent"/>
      </w:pPr>
      <w:r w:rsidRPr="00EC738E">
        <w:t>Electrons and positrons arrive at the IR from both directions, focused by the same IR quads</w:t>
      </w:r>
      <w:r w:rsidRPr="00614154">
        <w:t>. The o</w:t>
      </w:r>
      <w:r w:rsidRPr="00EC738E">
        <w:t xml:space="preserve">ptimum solution is </w:t>
      </w:r>
      <w:r w:rsidRPr="00614154">
        <w:t xml:space="preserve">to have </w:t>
      </w:r>
      <w:r w:rsidRPr="00EC738E">
        <w:t>equal transverse beta values at the I</w:t>
      </w:r>
      <w:r w:rsidRPr="00614154">
        <w:t>P, which r</w:t>
      </w:r>
      <w:r w:rsidRPr="00EC738E">
        <w:t>equires I</w:t>
      </w:r>
      <w:r w:rsidRPr="00614154">
        <w:t>P</w:t>
      </w:r>
      <w:r w:rsidRPr="00EC738E">
        <w:t xml:space="preserve"> final focus triplet quadrupoles</w:t>
      </w:r>
      <w:r w:rsidRPr="00614154">
        <w:t>. The</w:t>
      </w:r>
      <w:r w:rsidRPr="00EC738E">
        <w:t xml:space="preserve"> horizontal and vertical beta value</w:t>
      </w:r>
      <w:r w:rsidRPr="00614154">
        <w:t>s adopted</w:t>
      </w:r>
      <w:r w:rsidRPr="00EC738E">
        <w:t xml:space="preserve"> at the IP</w:t>
      </w:r>
      <w:r w:rsidRPr="00614154">
        <w:t xml:space="preserve"> are </w:t>
      </w:r>
      <w:r w:rsidRPr="00EC738E">
        <w:t xml:space="preserve"> </w:t>
      </w:r>
      <m:oMath>
        <m:sSubSup>
          <m:sSubSupPr>
            <m:ctrlPr>
              <w:rPr>
                <w:rFonts w:ascii="Cambria Math" w:hAnsi="Cambria Math"/>
                <w:i/>
                <w:iCs/>
              </w:rPr>
            </m:ctrlPr>
          </m:sSubSupPr>
          <m:e>
            <m:r>
              <w:rPr>
                <w:rFonts w:ascii="Cambria Math" w:hAnsi="Cambria Math"/>
              </w:rPr>
              <m:t>β</m:t>
            </m:r>
          </m:e>
          <m:sub>
            <m:r>
              <w:rPr>
                <w:rFonts w:ascii="Cambria Math" w:hAnsi="Cambria Math"/>
              </w:rPr>
              <m:t>x</m:t>
            </m:r>
          </m:sub>
          <m:sup>
            <m:r>
              <m:rPr>
                <m:sty m:val="p"/>
              </m:rPr>
              <w:rPr>
                <w:rFonts w:ascii="Cambria Math" w:hAnsi="Cambria Math"/>
              </w:rPr>
              <m:t>*</m:t>
            </m:r>
          </m:sup>
        </m:sSubSup>
      </m:oMath>
      <w:r w:rsidRPr="00EC738E">
        <w:t xml:space="preserve">= </w:t>
      </w:r>
      <m:oMath>
        <m:sSubSup>
          <m:sSubSupPr>
            <m:ctrlPr>
              <w:rPr>
                <w:rFonts w:ascii="Cambria Math" w:hAnsi="Cambria Math"/>
                <w:i/>
                <w:iCs/>
              </w:rPr>
            </m:ctrlPr>
          </m:sSubSupPr>
          <m:e>
            <m:r>
              <w:rPr>
                <w:rFonts w:ascii="Cambria Math" w:hAnsi="Cambria Math"/>
              </w:rPr>
              <m:t>β</m:t>
            </m:r>
          </m:e>
          <m:sub>
            <m:r>
              <w:rPr>
                <w:rFonts w:ascii="Cambria Math" w:hAnsi="Cambria Math"/>
              </w:rPr>
              <m:t>y</m:t>
            </m:r>
          </m:sub>
          <m:sup>
            <m:r>
              <m:rPr>
                <m:sty m:val="p"/>
              </m:rPr>
              <w:rPr>
                <w:rFonts w:ascii="Cambria Math" w:hAnsi="Cambria Math"/>
              </w:rPr>
              <m:t>*</m:t>
            </m:r>
          </m:sup>
        </m:sSubSup>
      </m:oMath>
      <w:r w:rsidRPr="00EC738E">
        <w:t>= 2 mm</w:t>
      </w:r>
      <w:r w:rsidRPr="00614154">
        <w:t xml:space="preserve"> (f</w:t>
      </w:r>
      <w:r w:rsidRPr="00EC738E">
        <w:t xml:space="preserve">or the ILC, </w:t>
      </w:r>
      <m:oMath>
        <m:sSubSup>
          <m:sSubSupPr>
            <m:ctrlPr>
              <w:rPr>
                <w:rFonts w:ascii="Cambria Math" w:hAnsi="Cambria Math"/>
                <w:i/>
                <w:iCs/>
              </w:rPr>
            </m:ctrlPr>
          </m:sSubSupPr>
          <m:e>
            <m:r>
              <w:rPr>
                <w:rFonts w:ascii="Cambria Math" w:hAnsi="Cambria Math"/>
              </w:rPr>
              <m:t>β</m:t>
            </m:r>
          </m:e>
          <m:sub>
            <m:r>
              <w:rPr>
                <w:rFonts w:ascii="Cambria Math" w:hAnsi="Cambria Math"/>
              </w:rPr>
              <m:t>x</m:t>
            </m:r>
          </m:sub>
          <m:sup>
            <m:r>
              <w:rPr>
                <w:rFonts w:ascii="Cambria Math" w:hAnsi="Cambria Math"/>
              </w:rPr>
              <m:t>*</m:t>
            </m:r>
          </m:sup>
        </m:sSubSup>
      </m:oMath>
      <w:r w:rsidRPr="00EC738E">
        <w:t xml:space="preserve"> = 11, </w:t>
      </w:r>
      <m:oMath>
        <m:sSubSup>
          <m:sSubSupPr>
            <m:ctrlPr>
              <w:rPr>
                <w:rFonts w:ascii="Cambria Math" w:hAnsi="Cambria Math"/>
                <w:i/>
                <w:iCs/>
              </w:rPr>
            </m:ctrlPr>
          </m:sSubSupPr>
          <m:e>
            <m:r>
              <w:rPr>
                <w:rFonts w:ascii="Cambria Math" w:hAnsi="Cambria Math"/>
              </w:rPr>
              <m:t>β</m:t>
            </m:r>
          </m:e>
          <m:sub>
            <m:r>
              <w:rPr>
                <w:rFonts w:ascii="Cambria Math" w:hAnsi="Cambria Math"/>
              </w:rPr>
              <m:t>y</m:t>
            </m:r>
          </m:sub>
          <m:sup>
            <m:r>
              <w:rPr>
                <w:rFonts w:ascii="Cambria Math" w:hAnsi="Cambria Math"/>
              </w:rPr>
              <m:t>*</m:t>
            </m:r>
          </m:sup>
        </m:sSubSup>
      </m:oMath>
      <w:r w:rsidRPr="00EC738E">
        <w:t xml:space="preserve"> = 0.48</w:t>
      </w:r>
      <w:r w:rsidR="003527FA">
        <w:rPr>
          <w:noProof/>
        </w:rPr>
        <w:t xml:space="preserve"> [11]</w:t>
      </w:r>
      <w:r w:rsidRPr="00614154">
        <w:t xml:space="preserve">). </w:t>
      </w:r>
      <w:r w:rsidRPr="00EC738E">
        <w:t>The transverse emittances should also be equal</w:t>
      </w:r>
      <w:r w:rsidRPr="00614154">
        <w:t xml:space="preserve">, and this is nearly true. The difference is that on either side of the IP, electrons and positrons either travel through a curved beamline with synchrotron radiation excitation or through a straight beamline, leading to a small emittance difference. </w:t>
      </w:r>
    </w:p>
    <w:p w14:paraId="1B0151CD" w14:textId="0554CCBE" w:rsidR="00D1643F" w:rsidRPr="00C47D6E" w:rsidRDefault="00D1643F" w:rsidP="00367357">
      <w:pPr>
        <w:pStyle w:val="BodyTextIndent"/>
        <w:rPr>
          <w:color w:val="000000" w:themeColor="text1"/>
        </w:rPr>
      </w:pPr>
      <w:r w:rsidRPr="00C47D6E">
        <w:rPr>
          <w:color w:val="000000" w:themeColor="text1"/>
        </w:rPr>
        <w:t xml:space="preserve">The Ghost bunches are not appreciably disrupted by the beam-beam collisions at the IP, which allows two or more IPs in series, one behind the other </w:t>
      </w:r>
      <w:r w:rsidR="008D6A08">
        <w:rPr>
          <w:color w:val="000000" w:themeColor="text1"/>
        </w:rPr>
        <w:t>with</w:t>
      </w:r>
      <w:r w:rsidRPr="00C47D6E">
        <w:rPr>
          <w:color w:val="000000" w:themeColor="text1"/>
        </w:rPr>
        <w:t xml:space="preserve"> the luminosities </w:t>
      </w:r>
      <w:r w:rsidR="008D6A08">
        <w:rPr>
          <w:color w:val="000000" w:themeColor="text1"/>
        </w:rPr>
        <w:t>being</w:t>
      </w:r>
      <w:r w:rsidRPr="00C47D6E">
        <w:rPr>
          <w:color w:val="000000" w:themeColor="text1"/>
        </w:rPr>
        <w:t xml:space="preserve"> additive, not shared. </w:t>
      </w:r>
    </w:p>
    <w:p w14:paraId="1CABF772" w14:textId="0DFD6C7F" w:rsidR="00D1643F" w:rsidRDefault="00D1643F" w:rsidP="00367357">
      <w:pPr>
        <w:pStyle w:val="BodyTextIndent"/>
      </w:pPr>
      <w:r w:rsidRPr="00324474">
        <w:t>The criteria</w:t>
      </w:r>
      <w:r w:rsidRPr="00614154">
        <w:t xml:space="preserve"> for the beam separation between the IPs</w:t>
      </w:r>
      <w:r w:rsidRPr="00324474">
        <w:t xml:space="preserve"> is that there is a –J matrix (n</w:t>
      </w:r>
      <w:r w:rsidRPr="00324474">
        <w:rPr>
          <w:lang w:val="el-GR"/>
        </w:rPr>
        <w:t>π ± ½</w:t>
      </w:r>
      <w:r w:rsidRPr="00324474">
        <w:t xml:space="preserve"> </w:t>
      </w:r>
      <w:proofErr w:type="spellStart"/>
      <w:r w:rsidRPr="00324474">
        <w:t>betatron</w:t>
      </w:r>
      <w:proofErr w:type="spellEnd"/>
      <w:r w:rsidRPr="00324474">
        <w:t xml:space="preserve"> wavelengths</w:t>
      </w:r>
      <w:r w:rsidRPr="00614154">
        <w:t>)</w:t>
      </w:r>
      <w:r w:rsidRPr="00324474">
        <w:t xml:space="preserve"> between the two IPs so chromatic errors cancel</w:t>
      </w:r>
      <w:r>
        <w:t xml:space="preserve"> </w:t>
      </w:r>
      <w:r w:rsidR="003527FA">
        <w:rPr>
          <w:noProof/>
        </w:rPr>
        <w:t>[12]</w:t>
      </w:r>
      <w:r w:rsidRPr="00614154">
        <w:t xml:space="preserve">. </w:t>
      </w:r>
      <w:r w:rsidRPr="00324474">
        <w:t xml:space="preserve">Cancelation removes the need for additional </w:t>
      </w:r>
      <w:r w:rsidR="004566EB">
        <w:t xml:space="preserve">transverse </w:t>
      </w:r>
      <w:r w:rsidRPr="00324474">
        <w:t>chromatic correction of the IPs</w:t>
      </w:r>
      <w:r w:rsidRPr="00614154">
        <w:t xml:space="preserve"> so that the beams (energy and particles) can be recovered. </w:t>
      </w:r>
    </w:p>
    <w:p w14:paraId="262CA42B" w14:textId="49ADE34B" w:rsidR="00D1643F" w:rsidRDefault="008D6A08" w:rsidP="00367357">
      <w:pPr>
        <w:pStyle w:val="BodyTextIndent"/>
      </w:pPr>
      <w:r>
        <w:t>A</w:t>
      </w:r>
      <w:r w:rsidR="00D1643F">
        <w:t xml:space="preserve"> “half-IP” on either side of the IP chain create</w:t>
      </w:r>
      <w:r>
        <w:t xml:space="preserve">s </w:t>
      </w:r>
      <w:r w:rsidR="00D1643F">
        <w:t>zero chromaticity at all the IPs</w:t>
      </w:r>
      <w:r>
        <w:t xml:space="preserve"> as </w:t>
      </w:r>
      <w:r w:rsidR="00D1643F">
        <w:t xml:space="preserve">shown in </w:t>
      </w:r>
      <w:r w:rsidR="0072606E">
        <w:t xml:space="preserve">Fig. </w:t>
      </w:r>
      <w:r w:rsidR="00556652">
        <w:t>5</w:t>
      </w:r>
      <w:r w:rsidR="00D1643F">
        <w:t xml:space="preserve"> for four serial IPs. </w:t>
      </w:r>
      <w:r>
        <w:t xml:space="preserve">This fully corrects the transverse chromatic effects but not the longitudinal. Various solutions are under study to correct this.  There is another </w:t>
      </w:r>
      <w:r w:rsidR="00C642FD">
        <w:t xml:space="preserve">potential </w:t>
      </w:r>
      <w:r>
        <w:t>problem: a small difference in the initial position and</w:t>
      </w:r>
      <w:r w:rsidR="004D5034">
        <w:t>/or</w:t>
      </w:r>
      <w:r>
        <w:t xml:space="preserve"> angle between the centroids of the electrons and positrons in the ghost bunch leads to an increase in the separation, proportional to the disruption coefficient, limiting the maximum luminosity.  This is being studied by developing the transfer matrix across the four IPs </w:t>
      </w:r>
      <w:r w:rsidR="004566EB">
        <w:t xml:space="preserve">to find the maximum disruption coefficient that is stable.  </w:t>
      </w:r>
    </w:p>
    <w:p w14:paraId="1AFA171C" w14:textId="77777777" w:rsidR="004566EB" w:rsidRDefault="00D1643F" w:rsidP="004566EB">
      <w:pPr>
        <w:pStyle w:val="BodyTextIndent"/>
        <w:rPr>
          <w:color w:val="000000"/>
        </w:rPr>
      </w:pPr>
      <w:r>
        <w:rPr>
          <w:color w:val="000000"/>
        </w:rPr>
        <w:t xml:space="preserve">The </w:t>
      </w:r>
      <w:r w:rsidRPr="00570787">
        <w:rPr>
          <w:color w:val="000000"/>
        </w:rPr>
        <w:t xml:space="preserve">IP separation should be half the bunch </w:t>
      </w:r>
      <w:r>
        <w:rPr>
          <w:color w:val="000000"/>
        </w:rPr>
        <w:t xml:space="preserve">spacing. In this example, n = 360 and the IP spacing is 166.14 m. </w:t>
      </w:r>
    </w:p>
    <w:p w14:paraId="3514439B" w14:textId="6C84CFCF" w:rsidR="00E564E4" w:rsidRDefault="00E564E4" w:rsidP="00E564E4">
      <w:pPr>
        <w:pStyle w:val="Heading3"/>
        <w:rPr>
          <w:rFonts w:eastAsiaTheme="minorEastAsia"/>
        </w:rPr>
      </w:pPr>
      <w:r>
        <w:rPr>
          <w:rFonts w:eastAsiaTheme="minorEastAsia"/>
        </w:rPr>
        <w:t>Damping Rings</w:t>
      </w:r>
    </w:p>
    <w:p w14:paraId="726A77B5" w14:textId="5C515D15" w:rsidR="00367357" w:rsidRPr="004566EB" w:rsidRDefault="00367357" w:rsidP="004566EB">
      <w:pPr>
        <w:pStyle w:val="BodyTextIndent"/>
        <w:rPr>
          <w:color w:val="000000"/>
        </w:rPr>
      </w:pPr>
      <w:r w:rsidRPr="00024A0C">
        <w:rPr>
          <w:rFonts w:eastAsiaTheme="minorEastAsia"/>
        </w:rPr>
        <w:t xml:space="preserve">The Ghost Collider </w:t>
      </w:r>
      <w:r w:rsidR="0042480A">
        <w:rPr>
          <w:rFonts w:eastAsiaTheme="minorEastAsia"/>
        </w:rPr>
        <w:t>ha</w:t>
      </w:r>
      <w:r w:rsidRPr="00024A0C">
        <w:rPr>
          <w:rFonts w:eastAsiaTheme="minorEastAsia"/>
        </w:rPr>
        <w:t xml:space="preserve">s a damping ring </w:t>
      </w:r>
      <w:r>
        <w:t>for the</w:t>
      </w:r>
      <w:r w:rsidRPr="00024A0C">
        <w:rPr>
          <w:rFonts w:eastAsiaTheme="minorEastAsia"/>
        </w:rPr>
        <w:t xml:space="preserve"> positrons</w:t>
      </w:r>
      <w:r>
        <w:t xml:space="preserve"> and either a damping ring or continuous injection for the electrons. T</w:t>
      </w:r>
      <w:r w:rsidRPr="00024A0C">
        <w:rPr>
          <w:rFonts w:eastAsiaTheme="minorEastAsia"/>
        </w:rPr>
        <w:t>he ILC 10 Hz Positron Damping Ring</w:t>
      </w:r>
      <w:r w:rsidRPr="00024A0C">
        <w:t xml:space="preserve"> </w:t>
      </w:r>
      <w:r w:rsidR="004566EB">
        <w:t>is</w:t>
      </w:r>
      <w:r>
        <w:t xml:space="preserve"> </w:t>
      </w:r>
      <w:r w:rsidR="0042480A">
        <w:t>us</w:t>
      </w:r>
      <w:r>
        <w:t>ed for both electrons and positrons for the</w:t>
      </w:r>
      <w:r w:rsidRPr="00024A0C">
        <w:rPr>
          <w:rFonts w:eastAsiaTheme="minorEastAsia"/>
        </w:rPr>
        <w:t xml:space="preserve"> Ghost Collider</w:t>
      </w:r>
      <w:r>
        <w:t>.</w:t>
      </w:r>
    </w:p>
    <w:p w14:paraId="797F55DC" w14:textId="3DBBC071" w:rsidR="00367357" w:rsidRPr="0055099B" w:rsidRDefault="00367357" w:rsidP="00367357">
      <w:pPr>
        <w:pStyle w:val="BodyTextIndent"/>
      </w:pPr>
      <w:r>
        <w:t xml:space="preserve">The Ghost Collider </w:t>
      </w:r>
      <w:r w:rsidR="0042480A">
        <w:t>operates with</w:t>
      </w:r>
      <w:r>
        <w:t xml:space="preserve"> a train of bunches separated by a delay to damp the particles. Two </w:t>
      </w:r>
      <w:r w:rsidRPr="00024A0C">
        <w:rPr>
          <w:rFonts w:eastAsiaTheme="minorEastAsia"/>
        </w:rPr>
        <w:t xml:space="preserve">positron bunches </w:t>
      </w:r>
      <w:r>
        <w:t xml:space="preserve">and two electron bunches are extracted </w:t>
      </w:r>
      <w:r w:rsidRPr="00024A0C">
        <w:rPr>
          <w:rFonts w:eastAsiaTheme="minorEastAsia"/>
        </w:rPr>
        <w:t>per collision</w:t>
      </w:r>
      <w:r>
        <w:t xml:space="preserve">, </w:t>
      </w:r>
      <w:r w:rsidR="0042480A">
        <w:t>with</w:t>
      </w:r>
      <w:r>
        <w:t xml:space="preserve"> 656 collisions per train. The s</w:t>
      </w:r>
      <w:r w:rsidRPr="00024A0C">
        <w:rPr>
          <w:rFonts w:eastAsiaTheme="minorEastAsia"/>
        </w:rPr>
        <w:t>eparation between bunches in the Ghost Collider</w:t>
      </w:r>
      <w:r>
        <w:t xml:space="preserve"> is</w:t>
      </w:r>
      <w:r w:rsidRPr="00024A0C">
        <w:rPr>
          <w:rFonts w:eastAsiaTheme="minorEastAsia"/>
        </w:rPr>
        <w:t xml:space="preserve"> 332.28 m </w:t>
      </w:r>
      <w:r>
        <w:t>or</w:t>
      </w:r>
      <w:r w:rsidRPr="00024A0C">
        <w:rPr>
          <w:rFonts w:eastAsiaTheme="minorEastAsia"/>
        </w:rPr>
        <w:t xml:space="preserve"> 1.11</w:t>
      </w:r>
      <w:r>
        <w:rPr>
          <w:rFonts w:eastAsiaTheme="minorEastAsia"/>
        </w:rPr>
        <w:t> </w:t>
      </w:r>
      <m:oMath>
        <m:r>
          <w:rPr>
            <w:rFonts w:ascii="Cambria Math" w:hAnsi="Cambria Math"/>
          </w:rPr>
          <m:t>μ</m:t>
        </m:r>
      </m:oMath>
      <w:r w:rsidRPr="00024A0C">
        <w:rPr>
          <w:rFonts w:eastAsiaTheme="minorEastAsia"/>
        </w:rPr>
        <w:t>s</w:t>
      </w:r>
      <w:r>
        <w:t xml:space="preserve">, so </w:t>
      </w:r>
      <w:r w:rsidRPr="00024A0C">
        <w:rPr>
          <w:rFonts w:eastAsiaTheme="minorEastAsia"/>
        </w:rPr>
        <w:t>extract</w:t>
      </w:r>
      <w:r>
        <w:t xml:space="preserve">ing </w:t>
      </w:r>
      <w:r w:rsidRPr="00024A0C">
        <w:rPr>
          <w:rFonts w:eastAsiaTheme="minorEastAsia"/>
        </w:rPr>
        <w:t>the positron</w:t>
      </w:r>
      <w:r>
        <w:t xml:space="preserve"> and electron</w:t>
      </w:r>
      <w:r w:rsidRPr="00024A0C">
        <w:rPr>
          <w:rFonts w:eastAsiaTheme="minorEastAsia"/>
        </w:rPr>
        <w:t xml:space="preserve"> bunches </w:t>
      </w:r>
      <w:r>
        <w:t>takes</w:t>
      </w:r>
      <w:r w:rsidRPr="00024A0C">
        <w:rPr>
          <w:rFonts w:eastAsiaTheme="minorEastAsia"/>
        </w:rPr>
        <w:t xml:space="preserve"> 0.73 </w:t>
      </w:r>
      <w:proofErr w:type="spellStart"/>
      <w:r w:rsidRPr="00024A0C">
        <w:rPr>
          <w:rFonts w:eastAsiaTheme="minorEastAsia"/>
        </w:rPr>
        <w:t>ms</w:t>
      </w:r>
      <w:proofErr w:type="spellEnd"/>
      <w:r>
        <w:t xml:space="preserve">. </w:t>
      </w:r>
    </w:p>
    <w:p w14:paraId="250DC38C" w14:textId="77777777" w:rsidR="00367357" w:rsidRDefault="00367357" w:rsidP="00367357">
      <w:pPr>
        <w:pStyle w:val="BodyTextIndent"/>
      </w:pPr>
      <w:r>
        <w:t>The d</w:t>
      </w:r>
      <w:r w:rsidRPr="00024A0C">
        <w:rPr>
          <w:rFonts w:eastAsiaTheme="minorEastAsia"/>
        </w:rPr>
        <w:t xml:space="preserve">amping </w:t>
      </w:r>
      <w:r>
        <w:t>r</w:t>
      </w:r>
      <w:r w:rsidRPr="00024A0C">
        <w:rPr>
          <w:rFonts w:eastAsiaTheme="minorEastAsia"/>
        </w:rPr>
        <w:t xml:space="preserve">ing current </w:t>
      </w:r>
      <w:r>
        <w:rPr>
          <w:rFonts w:eastAsiaTheme="minorEastAsia"/>
        </w:rPr>
        <w:t>is</w:t>
      </w:r>
      <w:r w:rsidRPr="00024A0C">
        <w:rPr>
          <w:rFonts w:eastAsiaTheme="minorEastAsia"/>
        </w:rPr>
        <w:t xml:space="preserve"> 0.389 mA</w:t>
      </w:r>
      <w:r>
        <w:t xml:space="preserve">, the </w:t>
      </w:r>
      <w:r w:rsidRPr="00024A0C">
        <w:rPr>
          <w:rFonts w:eastAsiaTheme="minorEastAsia"/>
        </w:rPr>
        <w:t xml:space="preserve">synchrotron radiation loss </w:t>
      </w:r>
      <w:r>
        <w:rPr>
          <w:rFonts w:eastAsiaTheme="minorEastAsia"/>
        </w:rPr>
        <w:t>is</w:t>
      </w:r>
      <w:r w:rsidRPr="00024A0C">
        <w:rPr>
          <w:rFonts w:eastAsiaTheme="minorEastAsia"/>
        </w:rPr>
        <w:t xml:space="preserve"> 8.4 MeV/turn</w:t>
      </w:r>
      <w:r>
        <w:t xml:space="preserve"> and a</w:t>
      </w:r>
      <w:r w:rsidRPr="00024A0C">
        <w:rPr>
          <w:rFonts w:eastAsiaTheme="minorEastAsia"/>
        </w:rPr>
        <w:t>ssum</w:t>
      </w:r>
      <w:r>
        <w:t>ing</w:t>
      </w:r>
      <w:r w:rsidRPr="00024A0C">
        <w:rPr>
          <w:rFonts w:eastAsiaTheme="minorEastAsia"/>
        </w:rPr>
        <w:t xml:space="preserve"> 50% efficiency, wall plug to RF</w:t>
      </w:r>
      <w:r>
        <w:t>, the e</w:t>
      </w:r>
      <w:r w:rsidRPr="00024A0C">
        <w:rPr>
          <w:rFonts w:eastAsiaTheme="minorEastAsia"/>
        </w:rPr>
        <w:t xml:space="preserve">lectrical power required </w:t>
      </w:r>
      <w:r>
        <w:rPr>
          <w:rFonts w:eastAsiaTheme="minorEastAsia"/>
        </w:rPr>
        <w:t>is</w:t>
      </w:r>
      <w:r w:rsidRPr="00024A0C">
        <w:rPr>
          <w:rFonts w:eastAsiaTheme="minorEastAsia"/>
        </w:rPr>
        <w:t xml:space="preserve"> 6.54 MW</w:t>
      </w:r>
      <w:r>
        <w:t xml:space="preserve"> per damping ring for a total of 11.08 MW. </w:t>
      </w:r>
    </w:p>
    <w:p w14:paraId="36AC665C" w14:textId="77777777" w:rsidR="00367357" w:rsidRPr="00367357" w:rsidRDefault="00367357" w:rsidP="00367357">
      <w:pPr>
        <w:pStyle w:val="Heading3"/>
      </w:pPr>
      <w:r w:rsidRPr="00367357">
        <w:t>Energy Spread</w:t>
      </w:r>
    </w:p>
    <w:p w14:paraId="0EDFA8B9" w14:textId="72471862" w:rsidR="00367357" w:rsidRDefault="00367357" w:rsidP="00367357">
      <w:pPr>
        <w:pStyle w:val="BodyTextIndent"/>
      </w:pPr>
      <w:r w:rsidRPr="0020405D">
        <w:t xml:space="preserve">The energy spread </w:t>
      </w:r>
      <w:r>
        <w:t>squared in the linacs is reduced or increased</w:t>
      </w:r>
      <w:r w:rsidRPr="0020405D">
        <w:t xml:space="preserve"> by the ratio of the output energy to the input energy</w:t>
      </w:r>
      <w:r>
        <w:t xml:space="preserve">. The arc and chicane contribution to the energy spread squared is calculated using the formulae in </w:t>
      </w:r>
      <w:r w:rsidR="003527FA">
        <w:rPr>
          <w:noProof/>
        </w:rPr>
        <w:t>[13]</w:t>
      </w:r>
      <w:r>
        <w:t xml:space="preserve">: </w:t>
      </w:r>
    </w:p>
    <w:p w14:paraId="355877C1" w14:textId="77777777" w:rsidR="00367357" w:rsidRDefault="003E38B5" w:rsidP="00367357">
      <w:pPr>
        <w:pStyle w:val="BodyTextIndent"/>
      </w:pPr>
      <m:oMath>
        <m:f>
          <m:fPr>
            <m:ctrlPr>
              <w:rPr>
                <w:rFonts w:ascii="Cambria Math" w:hAnsi="Cambria Math"/>
                <w:i/>
                <w:iCs/>
              </w:rPr>
            </m:ctrlPr>
          </m:fPr>
          <m:num>
            <m:sSubSup>
              <m:sSubSupPr>
                <m:ctrlPr>
                  <w:rPr>
                    <w:rFonts w:ascii="Cambria Math" w:hAnsi="Cambria Math"/>
                    <w:i/>
                    <w:iCs/>
                  </w:rPr>
                </m:ctrlPr>
              </m:sSubSupPr>
              <m:e>
                <m:r>
                  <w:rPr>
                    <w:rFonts w:ascii="Cambria Math" w:hAnsi="Cambria Math"/>
                  </w:rPr>
                  <m:t>σ</m:t>
                </m:r>
              </m:e>
              <m:sub>
                <m:r>
                  <w:rPr>
                    <w:rFonts w:ascii="Cambria Math" w:hAnsi="Cambria Math"/>
                  </w:rPr>
                  <m:t>E</m:t>
                </m:r>
              </m:sub>
              <m:sup>
                <m:r>
                  <w:rPr>
                    <w:rFonts w:ascii="Cambria Math" w:hAnsi="Cambria Math"/>
                  </w:rPr>
                  <m:t>2</m:t>
                </m:r>
              </m:sup>
            </m:sSubSup>
          </m:num>
          <m:den>
            <m:sSup>
              <m:sSupPr>
                <m:ctrlPr>
                  <w:rPr>
                    <w:rFonts w:ascii="Cambria Math" w:hAnsi="Cambria Math"/>
                    <w:i/>
                    <w:iCs/>
                  </w:rPr>
                </m:ctrlPr>
              </m:sSupPr>
              <m:e>
                <m:r>
                  <w:rPr>
                    <w:rFonts w:ascii="Cambria Math" w:hAnsi="Cambria Math"/>
                  </w:rPr>
                  <m:t>E</m:t>
                </m:r>
              </m:e>
              <m:sup>
                <m:r>
                  <w:rPr>
                    <w:rFonts w:ascii="Cambria Math" w:hAnsi="Cambria Math"/>
                  </w:rPr>
                  <m:t>2</m:t>
                </m:r>
              </m:sup>
            </m:sSup>
          </m:den>
        </m:f>
      </m:oMath>
      <w:r w:rsidR="00367357" w:rsidRPr="00AA245D">
        <w:rPr>
          <w:i/>
          <w:iCs/>
        </w:rPr>
        <w:t xml:space="preserve"> = </w:t>
      </w:r>
      <w:r w:rsidR="00367357" w:rsidRPr="00AA245D">
        <w:t>2.6x10</w:t>
      </w:r>
      <w:r w:rsidR="00367357" w:rsidRPr="00AA245D">
        <w:rPr>
          <w:vertAlign w:val="superscript"/>
        </w:rPr>
        <w:t>-10</w:t>
      </w:r>
      <w:r w:rsidR="00367357" w:rsidRPr="00AA245D">
        <w:rPr>
          <w:i/>
          <w:iCs/>
        </w:rPr>
        <w:t xml:space="preserve"> </w:t>
      </w:r>
      <m:oMath>
        <m:f>
          <m:fPr>
            <m:ctrlPr>
              <w:rPr>
                <w:rFonts w:ascii="Cambria Math" w:hAnsi="Cambria Math"/>
                <w:i/>
                <w:iCs/>
              </w:rPr>
            </m:ctrlPr>
          </m:fPr>
          <m:num>
            <m:sSup>
              <m:sSupPr>
                <m:ctrlPr>
                  <w:rPr>
                    <w:rFonts w:ascii="Cambria Math" w:hAnsi="Cambria Math"/>
                    <w:i/>
                    <w:iCs/>
                  </w:rPr>
                </m:ctrlPr>
              </m:sSupPr>
              <m:e>
                <m:r>
                  <w:rPr>
                    <w:rFonts w:ascii="Cambria Math" w:hAnsi="Cambria Math"/>
                  </w:rPr>
                  <m:t>E</m:t>
                </m:r>
                <m:r>
                  <w:rPr>
                    <w:rFonts w:ascii="Cambria Math" w:hAnsi="Cambria Math"/>
                  </w:rPr>
                  <m:t>(</m:t>
                </m:r>
                <m:r>
                  <w:rPr>
                    <w:rFonts w:ascii="Cambria Math" w:hAnsi="Cambria Math"/>
                  </w:rPr>
                  <m:t>GeV</m:t>
                </m:r>
                <m:r>
                  <w:rPr>
                    <w:rFonts w:ascii="Cambria Math" w:hAnsi="Cambria Math"/>
                  </w:rPr>
                  <m:t>)</m:t>
                </m:r>
              </m:e>
              <m:sup>
                <m:r>
                  <w:rPr>
                    <w:rFonts w:ascii="Cambria Math" w:hAnsi="Cambria Math"/>
                  </w:rPr>
                  <m:t>5</m:t>
                </m:r>
              </m:sup>
            </m:sSup>
          </m:num>
          <m:den>
            <m:sSup>
              <m:sSupPr>
                <m:ctrlPr>
                  <w:rPr>
                    <w:rFonts w:ascii="Cambria Math" w:hAnsi="Cambria Math"/>
                    <w:i/>
                    <w:iCs/>
                  </w:rPr>
                </m:ctrlPr>
              </m:sSupPr>
              <m:e>
                <m:r>
                  <w:rPr>
                    <w:rFonts w:ascii="Cambria Math" w:hAnsi="Cambria Math"/>
                  </w:rPr>
                  <m:t>ρ</m:t>
                </m:r>
                <m:r>
                  <w:rPr>
                    <w:rFonts w:ascii="Cambria Math" w:hAnsi="Cambria Math"/>
                  </w:rPr>
                  <m:t>(</m:t>
                </m:r>
                <m:r>
                  <w:rPr>
                    <w:rFonts w:ascii="Cambria Math" w:hAnsi="Cambria Math"/>
                  </w:rPr>
                  <m:t>m</m:t>
                </m:r>
                <m:r>
                  <w:rPr>
                    <w:rFonts w:ascii="Cambria Math" w:hAnsi="Cambria Math"/>
                  </w:rPr>
                  <m:t>)</m:t>
                </m:r>
              </m:e>
              <m:sup>
                <m:r>
                  <w:rPr>
                    <w:rFonts w:ascii="Cambria Math" w:hAnsi="Cambria Math"/>
                  </w:rPr>
                  <m:t>2</m:t>
                </m:r>
              </m:sup>
            </m:sSup>
          </m:den>
        </m:f>
        <m:f>
          <m:fPr>
            <m:ctrlPr>
              <w:rPr>
                <w:rFonts w:ascii="Cambria Math" w:hAnsi="Cambria Math"/>
                <w:i/>
                <w:iCs/>
              </w:rPr>
            </m:ctrlPr>
          </m:fPr>
          <m:num>
            <m:r>
              <w:rPr>
                <w:rFonts w:ascii="Cambria Math" w:hAnsi="Cambria Math"/>
              </w:rPr>
              <m:t>θ</m:t>
            </m:r>
          </m:num>
          <m:den>
            <m:r>
              <w:rPr>
                <w:rFonts w:ascii="Cambria Math" w:hAnsi="Cambria Math"/>
              </w:rPr>
              <m:t>2</m:t>
            </m:r>
            <m:r>
              <w:rPr>
                <w:rFonts w:ascii="Cambria Math" w:hAnsi="Cambria Math"/>
              </w:rPr>
              <m:t>π</m:t>
            </m:r>
          </m:den>
        </m:f>
      </m:oMath>
    </w:p>
    <w:p w14:paraId="1DF709F2" w14:textId="19275E45" w:rsidR="00367357" w:rsidRDefault="00367357" w:rsidP="00367357">
      <w:pPr>
        <w:pStyle w:val="BodyTextIndent"/>
      </w:pPr>
      <w:r>
        <w:t>The normalized emittance remains constant in the linacs but is increased in the arcs and chicanes, with the increase given by the formula</w:t>
      </w:r>
      <w:r w:rsidR="003527FA">
        <w:rPr>
          <w:noProof/>
        </w:rPr>
        <w:t xml:space="preserve"> [</w:t>
      </w:r>
      <w:r w:rsidR="0038147B">
        <w:rPr>
          <w:noProof/>
        </w:rPr>
        <w:t>13</w:t>
      </w:r>
      <w:r w:rsidR="003527FA">
        <w:rPr>
          <w:noProof/>
        </w:rPr>
        <w:t>]</w:t>
      </w:r>
      <w:r>
        <w:t xml:space="preserve">: </w:t>
      </w:r>
    </w:p>
    <w:p w14:paraId="294552CC" w14:textId="77777777" w:rsidR="00367357" w:rsidRDefault="003E38B5" w:rsidP="00367357">
      <w:pPr>
        <w:pStyle w:val="BodyTextIndent"/>
        <w:rPr>
          <w:rFonts w:eastAsiaTheme="minorEastAsia"/>
        </w:rPr>
      </w:pPr>
      <m:oMath>
        <m:sSub>
          <m:sSubPr>
            <m:ctrlPr>
              <w:rPr>
                <w:rFonts w:ascii="Cambria Math" w:hAnsi="Cambria Math"/>
                <w:i/>
                <w:iCs/>
              </w:rPr>
            </m:ctrlPr>
          </m:sSubPr>
          <m:e>
            <m:r>
              <w:rPr>
                <w:rFonts w:ascii="Cambria Math" w:hAnsi="Cambria Math"/>
              </w:rPr>
              <m:t>ε</m:t>
            </m:r>
          </m:e>
          <m:sub>
            <m:r>
              <w:rPr>
                <w:rFonts w:ascii="Cambria Math" w:hAnsi="Cambria Math"/>
              </w:rPr>
              <m:t>x</m:t>
            </m:r>
          </m:sub>
        </m:sSub>
      </m:oMath>
      <w:r w:rsidR="00367357" w:rsidRPr="00E03902">
        <w:rPr>
          <w:rFonts w:eastAsiaTheme="minorEastAsia"/>
        </w:rPr>
        <w:t>=1.3x10</w:t>
      </w:r>
      <w:r w:rsidR="00367357" w:rsidRPr="00E03902">
        <w:rPr>
          <w:rFonts w:eastAsiaTheme="minorEastAsia"/>
          <w:vertAlign w:val="superscript"/>
        </w:rPr>
        <w:t>-10</w:t>
      </w:r>
      <w:r w:rsidR="00367357" w:rsidRPr="00E03902">
        <w:rPr>
          <w:rFonts w:eastAsiaTheme="minorEastAsia"/>
        </w:rPr>
        <w:t xml:space="preserve"> </w:t>
      </w:r>
      <m:oMath>
        <m:f>
          <m:fPr>
            <m:ctrlPr>
              <w:rPr>
                <w:rFonts w:ascii="Cambria Math" w:hAnsi="Cambria Math"/>
                <w:i/>
                <w:iCs/>
                <w:sz w:val="28"/>
                <w:szCs w:val="28"/>
              </w:rPr>
            </m:ctrlPr>
          </m:fPr>
          <m:num>
            <m:sSup>
              <m:sSupPr>
                <m:ctrlPr>
                  <w:rPr>
                    <w:rFonts w:ascii="Cambria Math" w:hAnsi="Cambria Math"/>
                    <w:i/>
                    <w:iCs/>
                    <w:sz w:val="28"/>
                    <w:szCs w:val="28"/>
                  </w:rPr>
                </m:ctrlPr>
              </m:sSupPr>
              <m:e>
                <m:r>
                  <w:rPr>
                    <w:rFonts w:ascii="Cambria Math" w:hAnsi="Cambria Math"/>
                    <w:sz w:val="28"/>
                    <w:szCs w:val="28"/>
                  </w:rPr>
                  <m:t>E</m:t>
                </m:r>
                <m:r>
                  <w:rPr>
                    <w:rFonts w:ascii="Cambria Math" w:hAnsi="Cambria Math"/>
                    <w:sz w:val="28"/>
                    <w:szCs w:val="28"/>
                  </w:rPr>
                  <m:t>(</m:t>
                </m:r>
                <m:r>
                  <w:rPr>
                    <w:rFonts w:ascii="Cambria Math" w:hAnsi="Cambria Math"/>
                    <w:sz w:val="28"/>
                    <w:szCs w:val="28"/>
                  </w:rPr>
                  <m:t>GeV</m:t>
                </m:r>
                <m:r>
                  <w:rPr>
                    <w:rFonts w:ascii="Cambria Math" w:hAnsi="Cambria Math"/>
                    <w:sz w:val="28"/>
                    <w:szCs w:val="28"/>
                  </w:rPr>
                  <m:t>)</m:t>
                </m:r>
              </m:e>
              <m:sup>
                <m:r>
                  <w:rPr>
                    <w:rFonts w:ascii="Cambria Math" w:hAnsi="Cambria Math"/>
                    <w:sz w:val="28"/>
                    <w:szCs w:val="28"/>
                  </w:rPr>
                  <m:t>5</m:t>
                </m:r>
              </m:sup>
            </m:sSup>
          </m:num>
          <m:den>
            <m:sSup>
              <m:sSupPr>
                <m:ctrlPr>
                  <w:rPr>
                    <w:rFonts w:ascii="Cambria Math" w:hAnsi="Cambria Math"/>
                    <w:i/>
                    <w:iCs/>
                    <w:sz w:val="28"/>
                    <w:szCs w:val="28"/>
                  </w:rPr>
                </m:ctrlPr>
              </m:sSupPr>
              <m:e>
                <m:r>
                  <w:rPr>
                    <w:rFonts w:ascii="Cambria Math" w:hAnsi="Cambria Math"/>
                    <w:sz w:val="28"/>
                    <w:szCs w:val="28"/>
                  </w:rPr>
                  <m:t>ρ</m:t>
                </m:r>
                <m:r>
                  <w:rPr>
                    <w:rFonts w:ascii="Cambria Math" w:hAnsi="Cambria Math"/>
                    <w:sz w:val="28"/>
                    <w:szCs w:val="28"/>
                  </w:rPr>
                  <m:t>(</m:t>
                </m:r>
                <m:r>
                  <w:rPr>
                    <w:rFonts w:ascii="Cambria Math" w:hAnsi="Cambria Math"/>
                    <w:sz w:val="28"/>
                    <w:szCs w:val="28"/>
                  </w:rPr>
                  <m:t>m</m:t>
                </m:r>
                <m:r>
                  <w:rPr>
                    <w:rFonts w:ascii="Cambria Math" w:hAnsi="Cambria Math"/>
                    <w:sz w:val="28"/>
                    <w:szCs w:val="28"/>
                  </w:rPr>
                  <m:t>)</m:t>
                </m:r>
              </m:e>
              <m:sup>
                <m:r>
                  <w:rPr>
                    <w:rFonts w:ascii="Cambria Math" w:hAnsi="Cambria Math"/>
                    <w:sz w:val="28"/>
                    <w:szCs w:val="28"/>
                  </w:rPr>
                  <m:t>2</m:t>
                </m:r>
              </m:sup>
            </m:sSup>
          </m:den>
        </m:f>
        <m:d>
          <m:dPr>
            <m:begChr m:val="⟨"/>
            <m:endChr m:val="⟩"/>
            <m:ctrlPr>
              <w:rPr>
                <w:rFonts w:ascii="Cambria Math" w:hAnsi="Cambria Math"/>
                <w:i/>
                <w:iCs/>
                <w:sz w:val="28"/>
                <w:szCs w:val="28"/>
              </w:rPr>
            </m:ctrlPr>
          </m:dPr>
          <m:e>
            <m:r>
              <m:rPr>
                <m:nor/>
              </m:rPr>
              <w:rPr>
                <w:rFonts w:ascii="Snell Roundhand" w:eastAsiaTheme="minorEastAsia" w:hAnsi="Snell Roundhand"/>
                <w:sz w:val="28"/>
                <w:szCs w:val="28"/>
              </w:rPr>
              <m:t>H</m:t>
            </m:r>
            <m:r>
              <m:rPr>
                <m:sty m:val="p"/>
              </m:rPr>
              <w:rPr>
                <w:rFonts w:ascii="Cambria Math" w:hAnsi="Cambria Math"/>
                <w:sz w:val="28"/>
                <w:szCs w:val="28"/>
              </w:rPr>
              <m:t> </m:t>
            </m:r>
          </m:e>
        </m:d>
        <m:f>
          <m:fPr>
            <m:ctrlPr>
              <w:rPr>
                <w:rFonts w:ascii="Cambria Math" w:hAnsi="Cambria Math"/>
                <w:i/>
                <w:iCs/>
                <w:sz w:val="28"/>
                <w:szCs w:val="28"/>
              </w:rPr>
            </m:ctrlPr>
          </m:fPr>
          <m:num>
            <m:r>
              <w:rPr>
                <w:rFonts w:ascii="Cambria Math" w:hAnsi="Cambria Math"/>
                <w:sz w:val="28"/>
                <w:szCs w:val="28"/>
              </w:rPr>
              <m:t>θ</m:t>
            </m:r>
          </m:num>
          <m:den>
            <m:r>
              <w:rPr>
                <w:rFonts w:ascii="Cambria Math" w:hAnsi="Cambria Math"/>
                <w:sz w:val="28"/>
                <w:szCs w:val="28"/>
              </w:rPr>
              <m:t>2</m:t>
            </m:r>
            <m:r>
              <w:rPr>
                <w:rFonts w:ascii="Cambria Math" w:hAnsi="Cambria Math"/>
                <w:sz w:val="28"/>
                <w:szCs w:val="28"/>
              </w:rPr>
              <m:t>π</m:t>
            </m:r>
          </m:den>
        </m:f>
      </m:oMath>
    </w:p>
    <w:p w14:paraId="63861354" w14:textId="1629A66D" w:rsidR="00367357" w:rsidRDefault="00367357" w:rsidP="00367357">
      <w:pPr>
        <w:pStyle w:val="BodyTextIndent"/>
      </w:pPr>
      <w:r>
        <w:rPr>
          <w:rFonts w:eastAsiaTheme="minorEastAsia"/>
        </w:rPr>
        <w:t xml:space="preserve">Where </w:t>
      </w:r>
      <m:oMath>
        <m:d>
          <m:dPr>
            <m:begChr m:val="⟨"/>
            <m:endChr m:val="⟩"/>
            <m:ctrlPr>
              <w:rPr>
                <w:rFonts w:ascii="Cambria Math" w:hAnsi="Cambria Math"/>
                <w:i/>
                <w:iCs/>
              </w:rPr>
            </m:ctrlPr>
          </m:dPr>
          <m:e>
            <m:r>
              <m:rPr>
                <m:nor/>
              </m:rPr>
              <w:rPr>
                <w:rFonts w:ascii="Snell Roundhand" w:eastAsiaTheme="minorEastAsia" w:hAnsi="Snell Roundhand"/>
                <w:sz w:val="28"/>
                <w:szCs w:val="28"/>
              </w:rPr>
              <m:t>H</m:t>
            </m:r>
            <m:r>
              <m:rPr>
                <m:sty m:val="p"/>
              </m:rPr>
              <w:rPr>
                <w:rFonts w:ascii="Cambria Math" w:hAnsi="Cambria Math"/>
                <w:sz w:val="28"/>
                <w:szCs w:val="28"/>
              </w:rPr>
              <m:t> </m:t>
            </m:r>
          </m:e>
        </m:d>
      </m:oMath>
      <w:r w:rsidRPr="00E03902">
        <w:rPr>
          <w:rFonts w:eastAsiaTheme="minorEastAsia"/>
        </w:rPr>
        <w:t xml:space="preserve">  is approximately </w:t>
      </w:r>
      <w:r w:rsidRPr="002E1DFB">
        <w:rPr>
          <w:rFonts w:eastAsiaTheme="minorEastAsia"/>
        </w:rPr>
        <w:t>αR</w:t>
      </w:r>
      <w:r w:rsidRPr="002E1DFB">
        <w:rPr>
          <w:rFonts w:eastAsiaTheme="minorEastAsia"/>
          <w:iCs/>
        </w:rPr>
        <w:t>/</w:t>
      </w:r>
      <w:r w:rsidRPr="002E1DFB">
        <w:rPr>
          <w:rFonts w:eastAsiaTheme="minorEastAsia"/>
        </w:rPr>
        <w:t>ν</w:t>
      </w:r>
      <w:r>
        <w:rPr>
          <w:rFonts w:eastAsiaTheme="minorEastAsia"/>
          <w:iCs/>
        </w:rPr>
        <w:t xml:space="preserve">. </w:t>
      </w:r>
      <m:oMath>
        <m:r>
          <w:rPr>
            <w:rFonts w:ascii="Cambria Math" w:hAnsi="Cambria Math"/>
          </w:rPr>
          <m:t>α</m:t>
        </m:r>
      </m:oMath>
      <w:r w:rsidRPr="00E03902">
        <w:rPr>
          <w:rFonts w:eastAsiaTheme="minorEastAsia"/>
        </w:rPr>
        <w:t xml:space="preserve"> is the momentum compaction factor</w:t>
      </w:r>
      <w:r>
        <w:t xml:space="preserve">, </w:t>
      </w:r>
      <m:oMath>
        <m:r>
          <w:rPr>
            <w:rFonts w:ascii="Cambria Math" w:hAnsi="Cambria Math"/>
            <w:sz w:val="28"/>
            <w:szCs w:val="28"/>
          </w:rPr>
          <m:t>ρ</m:t>
        </m:r>
      </m:oMath>
      <w:r w:rsidRPr="00E03902">
        <w:rPr>
          <w:rFonts w:eastAsiaTheme="minorEastAsia"/>
        </w:rPr>
        <w:t xml:space="preserve"> is the </w:t>
      </w:r>
      <w:r w:rsidR="002755BF">
        <w:rPr>
          <w:rFonts w:eastAsiaTheme="minorEastAsia"/>
        </w:rPr>
        <w:t xml:space="preserve">bending </w:t>
      </w:r>
      <w:r w:rsidRPr="00E03902">
        <w:rPr>
          <w:rFonts w:eastAsiaTheme="minorEastAsia"/>
        </w:rPr>
        <w:t>radius of the ring</w:t>
      </w:r>
      <w:r>
        <w:t xml:space="preserve">, </w:t>
      </w:r>
      <m:oMath>
        <m:sSub>
          <m:sSubPr>
            <m:ctrlPr>
              <w:rPr>
                <w:rFonts w:ascii="Cambria Math" w:hAnsi="Cambria Math"/>
                <w:i/>
                <w:iCs/>
              </w:rPr>
            </m:ctrlPr>
          </m:sSubPr>
          <m:e>
            <m:r>
              <w:rPr>
                <w:rFonts w:ascii="Cambria Math" w:hAnsi="Cambria Math"/>
              </w:rPr>
              <m:t>ν</m:t>
            </m:r>
          </m:e>
          <m:sub>
            <m:r>
              <w:rPr>
                <w:rFonts w:ascii="Cambria Math" w:hAnsi="Cambria Math"/>
              </w:rPr>
              <m:t>x</m:t>
            </m:r>
          </m:sub>
        </m:sSub>
      </m:oMath>
      <w:r w:rsidRPr="00E03902">
        <w:rPr>
          <w:rFonts w:eastAsiaTheme="minorEastAsia"/>
        </w:rPr>
        <w:t xml:space="preserve"> is the horizontal tune</w:t>
      </w:r>
      <w:r>
        <w:t xml:space="preserve"> and </w:t>
      </w:r>
      <m:oMath>
        <m:d>
          <m:dPr>
            <m:begChr m:val="⟨"/>
            <m:endChr m:val="⟩"/>
            <m:ctrlPr>
              <w:rPr>
                <w:rFonts w:ascii="Cambria Math" w:hAnsi="Cambria Math"/>
                <w:i/>
                <w:iCs/>
              </w:rPr>
            </m:ctrlPr>
          </m:dPr>
          <m:e>
            <m:r>
              <m:rPr>
                <m:nor/>
              </m:rPr>
              <w:rPr>
                <w:rFonts w:ascii="Snell Roundhand" w:eastAsiaTheme="minorEastAsia" w:hAnsi="Snell Roundhand"/>
                <w:sz w:val="28"/>
                <w:szCs w:val="28"/>
              </w:rPr>
              <m:t>H</m:t>
            </m:r>
            <m:r>
              <m:rPr>
                <m:sty m:val="p"/>
              </m:rPr>
              <w:rPr>
                <w:rFonts w:ascii="Cambria Math" w:hAnsi="Cambria Math"/>
                <w:sz w:val="28"/>
                <w:szCs w:val="28"/>
              </w:rPr>
              <m:t> </m:t>
            </m:r>
          </m:e>
        </m:d>
      </m:oMath>
      <w:r w:rsidRPr="00E03902">
        <w:rPr>
          <w:rFonts w:eastAsiaTheme="minorEastAsia"/>
        </w:rPr>
        <w:t xml:space="preserve"> is the average value of </w:t>
      </w:r>
      <m:oMath>
        <m:r>
          <m:rPr>
            <m:nor/>
          </m:rPr>
          <w:rPr>
            <w:rFonts w:ascii="Snell Roundhand" w:eastAsiaTheme="minorEastAsia" w:hAnsi="Snell Roundhand"/>
            <w:sz w:val="28"/>
            <w:szCs w:val="28"/>
          </w:rPr>
          <m:t>H</m:t>
        </m:r>
        <m:r>
          <m:rPr>
            <m:sty m:val="p"/>
          </m:rPr>
          <w:rPr>
            <w:rFonts w:ascii="Cambria Math" w:hAnsi="Cambria Math"/>
            <w:sz w:val="28"/>
            <w:szCs w:val="28"/>
          </w:rPr>
          <m:t> </m:t>
        </m:r>
      </m:oMath>
      <w:r w:rsidRPr="00E03902">
        <w:rPr>
          <w:rFonts w:eastAsiaTheme="minorEastAsia"/>
          <w:b/>
          <w:bCs/>
        </w:rPr>
        <w:t xml:space="preserve"> </w:t>
      </w:r>
      <w:r w:rsidRPr="00E03902">
        <w:rPr>
          <w:rFonts w:eastAsiaTheme="minorEastAsia"/>
        </w:rPr>
        <w:t>in the arcs</w:t>
      </w:r>
      <w:r w:rsidR="0038147B">
        <w:rPr>
          <w:noProof/>
        </w:rPr>
        <w:t xml:space="preserve"> [13]</w:t>
      </w:r>
      <w:r>
        <w:t>.</w:t>
      </w:r>
    </w:p>
    <w:p w14:paraId="29A078B3" w14:textId="6C870FE0" w:rsidR="00367357" w:rsidRDefault="00367357" w:rsidP="00367357">
      <w:pPr>
        <w:pStyle w:val="BodyTextIndent"/>
      </w:pPr>
      <w:r>
        <w:lastRenderedPageBreak/>
        <w:t xml:space="preserve">The smallest </w:t>
      </w:r>
      <w:r w:rsidR="00E564E4">
        <w:rPr>
          <w:rFonts w:eastAsiaTheme="minorEastAsia"/>
          <w:iCs/>
        </w:rPr>
        <w:t xml:space="preserve">published </w:t>
      </w:r>
      <w:r>
        <w:t xml:space="preserve">value of </w:t>
      </w:r>
      <m:oMath>
        <m:d>
          <m:dPr>
            <m:begChr m:val="⟨"/>
            <m:endChr m:val="⟩"/>
            <m:ctrlPr>
              <w:rPr>
                <w:rFonts w:ascii="Cambria Math" w:hAnsi="Cambria Math"/>
                <w:i/>
                <w:iCs/>
              </w:rPr>
            </m:ctrlPr>
          </m:dPr>
          <m:e>
            <m:r>
              <m:rPr>
                <m:nor/>
              </m:rPr>
              <w:rPr>
                <w:rFonts w:ascii="Snell Roundhand" w:eastAsiaTheme="minorEastAsia" w:hAnsi="Snell Roundhand"/>
                <w:sz w:val="28"/>
                <w:szCs w:val="28"/>
              </w:rPr>
              <m:t>H</m:t>
            </m:r>
            <m:r>
              <m:rPr>
                <m:sty m:val="p"/>
              </m:rPr>
              <w:rPr>
                <w:rFonts w:ascii="Cambria Math" w:hAnsi="Cambria Math"/>
                <w:sz w:val="28"/>
                <w:szCs w:val="28"/>
              </w:rPr>
              <m:t> </m:t>
            </m:r>
          </m:e>
        </m:d>
      </m:oMath>
      <w:r>
        <w:rPr>
          <w:rFonts w:eastAsiaTheme="minorEastAsia"/>
          <w:iCs/>
        </w:rPr>
        <w:t xml:space="preserve"> is 3.3 x 10</w:t>
      </w:r>
      <w:r w:rsidRPr="00ED1939">
        <w:rPr>
          <w:rFonts w:eastAsiaTheme="minorEastAsia"/>
          <w:iCs/>
          <w:vertAlign w:val="superscript"/>
        </w:rPr>
        <w:t>-5</w:t>
      </w:r>
      <w:r>
        <w:rPr>
          <w:rFonts w:eastAsiaTheme="minorEastAsia"/>
          <w:iCs/>
        </w:rPr>
        <w:t xml:space="preserve"> at PETRA IV </w:t>
      </w:r>
      <w:r w:rsidR="003527FA" w:rsidRPr="000C0A7E">
        <w:rPr>
          <w:rFonts w:eastAsiaTheme="minorEastAsia"/>
          <w:noProof/>
        </w:rPr>
        <w:t>[1</w:t>
      </w:r>
      <w:r w:rsidR="0038147B">
        <w:rPr>
          <w:rFonts w:eastAsiaTheme="minorEastAsia"/>
          <w:noProof/>
        </w:rPr>
        <w:t>4</w:t>
      </w:r>
      <w:r w:rsidR="003527FA" w:rsidRPr="000C0A7E">
        <w:rPr>
          <w:rFonts w:eastAsiaTheme="minorEastAsia"/>
          <w:noProof/>
        </w:rPr>
        <w:t>]</w:t>
      </w:r>
      <w:r w:rsidR="002E2190">
        <w:rPr>
          <w:rFonts w:eastAsiaTheme="minorEastAsia"/>
          <w:iCs/>
        </w:rPr>
        <w:t>;</w:t>
      </w:r>
      <w:r>
        <w:rPr>
          <w:rFonts w:eastAsiaTheme="minorEastAsia"/>
          <w:iCs/>
        </w:rPr>
        <w:t xml:space="preserve"> this value </w:t>
      </w:r>
      <w:r w:rsidR="002E2190">
        <w:rPr>
          <w:rFonts w:eastAsiaTheme="minorEastAsia"/>
          <w:iCs/>
        </w:rPr>
        <w:t>is</w:t>
      </w:r>
      <w:r>
        <w:rPr>
          <w:rFonts w:eastAsiaTheme="minorEastAsia"/>
          <w:iCs/>
        </w:rPr>
        <w:t xml:space="preserve"> </w:t>
      </w:r>
      <w:r w:rsidR="002E2190">
        <w:rPr>
          <w:rFonts w:eastAsiaTheme="minorEastAsia"/>
          <w:iCs/>
        </w:rPr>
        <w:t>us</w:t>
      </w:r>
      <w:r>
        <w:rPr>
          <w:rFonts w:eastAsiaTheme="minorEastAsia"/>
          <w:iCs/>
        </w:rPr>
        <w:t xml:space="preserve">ed for the Ghost Collider. </w:t>
      </w:r>
    </w:p>
    <w:p w14:paraId="098263AC" w14:textId="6C693FC3" w:rsidR="00367357" w:rsidRDefault="00367357" w:rsidP="00367357">
      <w:pPr>
        <w:pStyle w:val="BodyTextIndent"/>
      </w:pPr>
      <w:r>
        <w:t xml:space="preserve">The required damping is driven by the energy spread; a reduction by a factor of 6.1 is required, or about 8 </w:t>
      </w:r>
      <w:proofErr w:type="spellStart"/>
      <w:r>
        <w:t>ms</w:t>
      </w:r>
      <w:proofErr w:type="spellEnd"/>
      <w:r w:rsidR="009C73E4">
        <w:t>,</w:t>
      </w:r>
      <w:r>
        <w:t xml:space="preserve"> limit</w:t>
      </w:r>
      <w:r w:rsidR="009C73E4">
        <w:t>ing</w:t>
      </w:r>
      <w:r>
        <w:t xml:space="preserve"> the train repetition rate to about 120 Hz. With coupled optics, the emittance is shared between the horizontal and vertical. The horizontal and vertical emittances adopted is 6.5 mm-</w:t>
      </w:r>
      <w:proofErr w:type="spellStart"/>
      <w:r>
        <w:t>mrad</w:t>
      </w:r>
      <w:proofErr w:type="spellEnd"/>
      <w:r>
        <w:t xml:space="preserve"> to allow for ~10% additional blow up. </w:t>
      </w:r>
    </w:p>
    <w:p w14:paraId="23F64F83" w14:textId="77777777" w:rsidR="005C6A89" w:rsidRPr="000A45CE" w:rsidRDefault="005C6A89" w:rsidP="005C6A89">
      <w:pPr>
        <w:pStyle w:val="Heading3"/>
      </w:pPr>
      <w:r w:rsidRPr="000A45CE">
        <w:t>RF Power Required</w:t>
      </w:r>
    </w:p>
    <w:p w14:paraId="67F92012" w14:textId="7A111547" w:rsidR="00763D8D" w:rsidRDefault="00763D8D" w:rsidP="00763D8D">
      <w:pPr>
        <w:pStyle w:val="BodyTextIndent"/>
        <w:rPr>
          <w:rFonts w:eastAsiaTheme="minorHAnsi"/>
        </w:rPr>
      </w:pPr>
      <w:r>
        <w:rPr>
          <w:rFonts w:eastAsiaTheme="minorHAnsi"/>
        </w:rPr>
        <w:t>The s</w:t>
      </w:r>
      <w:r w:rsidRPr="003A09EF">
        <w:rPr>
          <w:rFonts w:eastAsiaTheme="minorHAnsi"/>
        </w:rPr>
        <w:t xml:space="preserve">ynchrotron radiation loss in </w:t>
      </w:r>
      <w:r>
        <w:rPr>
          <w:rFonts w:eastAsiaTheme="minorHAnsi"/>
        </w:rPr>
        <w:t>each</w:t>
      </w:r>
      <w:r w:rsidRPr="003A09EF">
        <w:rPr>
          <w:rFonts w:eastAsiaTheme="minorHAnsi"/>
        </w:rPr>
        <w:t xml:space="preserve"> </w:t>
      </w:r>
      <w:r>
        <w:rPr>
          <w:rFonts w:eastAsiaTheme="minorHAnsi"/>
        </w:rPr>
        <w:t xml:space="preserve">arc is 11 GeV and 1 GeV in the curved chicane beamline. The </w:t>
      </w:r>
      <w:r w:rsidRPr="003A09EF">
        <w:rPr>
          <w:rFonts w:eastAsiaTheme="minorHAnsi"/>
        </w:rPr>
        <w:t xml:space="preserve">RF </w:t>
      </w:r>
      <w:r>
        <w:rPr>
          <w:rFonts w:eastAsiaTheme="minorHAnsi"/>
        </w:rPr>
        <w:t>a</w:t>
      </w:r>
      <w:r w:rsidRPr="003A09EF">
        <w:rPr>
          <w:rFonts w:eastAsiaTheme="minorHAnsi"/>
        </w:rPr>
        <w:t>cceleration required from the damping rings to the IP and back to the damping ring</w:t>
      </w:r>
      <w:r>
        <w:rPr>
          <w:rFonts w:eastAsiaTheme="minorHAnsi"/>
        </w:rPr>
        <w:t>s</w:t>
      </w:r>
      <w:r w:rsidRPr="003A09EF">
        <w:rPr>
          <w:rFonts w:eastAsiaTheme="minorHAnsi"/>
        </w:rPr>
        <w:t xml:space="preserve"> </w:t>
      </w:r>
      <w:r>
        <w:rPr>
          <w:rFonts w:eastAsiaTheme="minorHAnsi"/>
        </w:rPr>
        <w:t>is</w:t>
      </w:r>
      <w:r w:rsidRPr="003A09EF">
        <w:rPr>
          <w:rFonts w:eastAsiaTheme="minorHAnsi"/>
        </w:rPr>
        <w:t xml:space="preserve"> 23 GV</w:t>
      </w:r>
      <w:r>
        <w:rPr>
          <w:rFonts w:eastAsiaTheme="minorHAnsi"/>
        </w:rPr>
        <w:t xml:space="preserve">. </w:t>
      </w:r>
      <w:r w:rsidRPr="003A09EF">
        <w:rPr>
          <w:rFonts w:eastAsiaTheme="minorHAnsi"/>
        </w:rPr>
        <w:t>Assum</w:t>
      </w:r>
      <w:r>
        <w:rPr>
          <w:rFonts w:eastAsiaTheme="minorHAnsi"/>
        </w:rPr>
        <w:t>ing</w:t>
      </w:r>
      <w:r w:rsidRPr="003A09EF">
        <w:rPr>
          <w:rFonts w:eastAsiaTheme="minorHAnsi"/>
        </w:rPr>
        <w:t xml:space="preserve"> 50% efficiency wall plug to RF</w:t>
      </w:r>
      <w:r>
        <w:rPr>
          <w:rFonts w:eastAsiaTheme="minorHAnsi"/>
        </w:rPr>
        <w:t xml:space="preserve">, the </w:t>
      </w:r>
      <w:r w:rsidRPr="003A09EF">
        <w:rPr>
          <w:rFonts w:eastAsiaTheme="minorHAnsi"/>
        </w:rPr>
        <w:t xml:space="preserve">RF power required </w:t>
      </w:r>
      <w:r>
        <w:rPr>
          <w:rFonts w:eastAsiaTheme="minorHAnsi"/>
        </w:rPr>
        <w:t>is</w:t>
      </w:r>
      <w:r w:rsidRPr="003A09EF">
        <w:rPr>
          <w:rFonts w:eastAsiaTheme="minorHAnsi"/>
        </w:rPr>
        <w:t xml:space="preserve"> 0.39 </w:t>
      </w:r>
      <w:r w:rsidRPr="00763D8D">
        <w:rPr>
          <w:rFonts w:ascii="Apple Chancery" w:eastAsia="+mn-ea" w:hAnsi="Apple Chancery" w:cs="Apple Chancery" w:hint="cs"/>
          <w:color w:val="000000"/>
          <w:kern w:val="24"/>
          <w:sz w:val="18"/>
          <w:szCs w:val="18"/>
        </w:rPr>
        <w:t>R</w:t>
      </w:r>
      <w:r w:rsidRPr="003A09EF">
        <w:rPr>
          <w:rFonts w:eastAsiaTheme="minorHAnsi" w:hint="cs"/>
        </w:rPr>
        <w:t xml:space="preserve"> </w:t>
      </w:r>
      <w:r w:rsidRPr="003A09EF">
        <w:rPr>
          <w:rFonts w:eastAsiaTheme="minorHAnsi"/>
        </w:rPr>
        <w:t>MW</w:t>
      </w:r>
      <w:r w:rsidR="009C73E4">
        <w:rPr>
          <w:rFonts w:eastAsiaTheme="minorHAnsi"/>
        </w:rPr>
        <w:t xml:space="preserve">, where </w:t>
      </w:r>
      <w:r w:rsidR="009C73E4" w:rsidRPr="00763D8D">
        <w:rPr>
          <w:rFonts w:ascii="Apple Chancery" w:eastAsia="+mn-ea" w:hAnsi="Apple Chancery" w:cs="Apple Chancery" w:hint="cs"/>
          <w:color w:val="000000"/>
          <w:kern w:val="24"/>
          <w:sz w:val="18"/>
          <w:szCs w:val="18"/>
        </w:rPr>
        <w:t>R</w:t>
      </w:r>
      <w:r w:rsidR="009C73E4">
        <w:rPr>
          <w:rFonts w:eastAsiaTheme="minorHAnsi"/>
        </w:rPr>
        <w:t xml:space="preserve"> is the train repetition rate</w:t>
      </w:r>
      <w:r>
        <w:rPr>
          <w:rFonts w:eastAsiaTheme="minorHAnsi"/>
        </w:rPr>
        <w:t xml:space="preserve">. </w:t>
      </w:r>
    </w:p>
    <w:p w14:paraId="5B502FD3" w14:textId="4543BDEE" w:rsidR="00763D8D" w:rsidRPr="003A09EF" w:rsidRDefault="00763D8D" w:rsidP="00763D8D">
      <w:pPr>
        <w:pStyle w:val="BodyTextIndent"/>
        <w:rPr>
          <w:rFonts w:eastAsiaTheme="minorHAnsi"/>
        </w:rPr>
      </w:pPr>
      <w:r>
        <w:rPr>
          <w:rFonts w:eastAsiaTheme="minorHAnsi"/>
        </w:rPr>
        <w:t>For the linac RF power requirements,</w:t>
      </w:r>
      <w:r w:rsidRPr="003A09EF">
        <w:rPr>
          <w:rFonts w:eastAsiaTheme="minorHAnsi"/>
        </w:rPr>
        <w:t xml:space="preserve"> the ILC cavities at 31.5 MV/m</w:t>
      </w:r>
      <w:r>
        <w:rPr>
          <w:rFonts w:eastAsiaTheme="minorHAnsi"/>
        </w:rPr>
        <w:t xml:space="preserve"> will be assumed. E</w:t>
      </w:r>
      <w:r w:rsidRPr="003A09EF">
        <w:rPr>
          <w:rFonts w:eastAsiaTheme="minorHAnsi"/>
        </w:rPr>
        <w:t>ach produces 32.75 MV</w:t>
      </w:r>
      <w:r>
        <w:rPr>
          <w:rFonts w:eastAsiaTheme="minorHAnsi"/>
        </w:rPr>
        <w:t>, so f</w:t>
      </w:r>
      <w:r w:rsidRPr="003A09EF">
        <w:rPr>
          <w:rFonts w:eastAsiaTheme="minorHAnsi"/>
        </w:rPr>
        <w:t>or 135 GV</w:t>
      </w:r>
      <w:r>
        <w:rPr>
          <w:rFonts w:eastAsiaTheme="minorHAnsi"/>
        </w:rPr>
        <w:t xml:space="preserve"> per linac</w:t>
      </w:r>
      <w:r w:rsidRPr="003A09EF">
        <w:rPr>
          <w:rFonts w:eastAsiaTheme="minorHAnsi"/>
        </w:rPr>
        <w:t xml:space="preserve">, 4,122 cavities </w:t>
      </w:r>
      <w:r>
        <w:rPr>
          <w:rFonts w:eastAsiaTheme="minorHAnsi"/>
        </w:rPr>
        <w:t xml:space="preserve">are required </w:t>
      </w:r>
      <w:r w:rsidRPr="003A09EF">
        <w:rPr>
          <w:rFonts w:eastAsiaTheme="minorHAnsi"/>
        </w:rPr>
        <w:t>per linac</w:t>
      </w:r>
      <w:r>
        <w:rPr>
          <w:rFonts w:eastAsiaTheme="minorHAnsi"/>
        </w:rPr>
        <w:t xml:space="preserve">. </w:t>
      </w:r>
      <w:r w:rsidR="009C73E4">
        <w:rPr>
          <w:rFonts w:eastAsiaTheme="minorHAnsi"/>
        </w:rPr>
        <w:t>The</w:t>
      </w:r>
      <w:r>
        <w:rPr>
          <w:rFonts w:eastAsiaTheme="minorHAnsi"/>
        </w:rPr>
        <w:t xml:space="preserve"> cavities are equipped with FE-FRTs [13] to match the power sources to the cavities. Reference 13 calculated the power required for the 1300 MHz Cornell cavities to be 365 watts so the t</w:t>
      </w:r>
      <w:r w:rsidRPr="003A09EF">
        <w:rPr>
          <w:rFonts w:eastAsiaTheme="minorHAnsi"/>
        </w:rPr>
        <w:t xml:space="preserve">otal </w:t>
      </w:r>
      <w:r>
        <w:rPr>
          <w:rFonts w:eastAsiaTheme="minorHAnsi"/>
        </w:rPr>
        <w:t xml:space="preserve">RF </w:t>
      </w:r>
      <w:r w:rsidRPr="003A09EF">
        <w:rPr>
          <w:rFonts w:eastAsiaTheme="minorHAnsi"/>
        </w:rPr>
        <w:t xml:space="preserve">power per linac </w:t>
      </w:r>
      <w:r>
        <w:rPr>
          <w:rFonts w:eastAsiaTheme="minorHAnsi"/>
        </w:rPr>
        <w:t>is</w:t>
      </w:r>
      <w:r w:rsidRPr="003A09EF">
        <w:rPr>
          <w:rFonts w:eastAsiaTheme="minorHAnsi"/>
        </w:rPr>
        <w:t xml:space="preserve"> </w:t>
      </w:r>
      <w:r>
        <w:rPr>
          <w:rFonts w:eastAsiaTheme="minorHAnsi"/>
        </w:rPr>
        <w:t>1.45 </w:t>
      </w:r>
      <w:r w:rsidRPr="003A09EF">
        <w:rPr>
          <w:rFonts w:eastAsiaTheme="minorHAnsi"/>
        </w:rPr>
        <w:t>MW</w:t>
      </w:r>
      <w:r>
        <w:rPr>
          <w:rFonts w:eastAsiaTheme="minorHAnsi"/>
        </w:rPr>
        <w:t>. Again a</w:t>
      </w:r>
      <w:r w:rsidRPr="003A09EF">
        <w:rPr>
          <w:rFonts w:eastAsiaTheme="minorHAnsi"/>
        </w:rPr>
        <w:t>ssum</w:t>
      </w:r>
      <w:r>
        <w:rPr>
          <w:rFonts w:eastAsiaTheme="minorHAnsi"/>
        </w:rPr>
        <w:t>ing</w:t>
      </w:r>
      <w:r w:rsidRPr="003A09EF">
        <w:rPr>
          <w:rFonts w:eastAsiaTheme="minorHAnsi"/>
        </w:rPr>
        <w:t xml:space="preserve"> 50% efficiency</w:t>
      </w:r>
      <w:r>
        <w:rPr>
          <w:rFonts w:eastAsiaTheme="minorHAnsi"/>
        </w:rPr>
        <w:t xml:space="preserve"> </w:t>
      </w:r>
      <w:r w:rsidRPr="003A09EF">
        <w:rPr>
          <w:rFonts w:eastAsiaTheme="minorHAnsi"/>
        </w:rPr>
        <w:t>wall plug to RF</w:t>
      </w:r>
      <w:r>
        <w:rPr>
          <w:rFonts w:eastAsiaTheme="minorHAnsi"/>
        </w:rPr>
        <w:t xml:space="preserve"> and a </w:t>
      </w:r>
      <w:r w:rsidRPr="003A09EF">
        <w:rPr>
          <w:rFonts w:eastAsiaTheme="minorHAnsi"/>
        </w:rPr>
        <w:t>duty cycle</w:t>
      </w:r>
      <w:r w:rsidRPr="003A09EF">
        <w:rPr>
          <w:rFonts w:eastAsiaTheme="minorHAnsi"/>
          <w:i/>
          <w:iCs/>
        </w:rPr>
        <w:t xml:space="preserve"> </w:t>
      </w:r>
      <w:r w:rsidRPr="00B84912">
        <w:rPr>
          <w:rFonts w:eastAsiaTheme="minorHAnsi"/>
        </w:rPr>
        <w:t xml:space="preserve">of </w:t>
      </w:r>
      <w:r>
        <w:t>0.73</w:t>
      </w:r>
      <w:r>
        <w:rPr>
          <w:rFonts w:eastAsiaTheme="minorEastAsia"/>
        </w:rPr>
        <w:t> </w:t>
      </w:r>
      <w:r w:rsidRPr="00763D8D">
        <w:rPr>
          <w:rFonts w:ascii="Apple Chancery" w:eastAsia="+mn-ea" w:hAnsi="Apple Chancery" w:cs="Apple Chancery" w:hint="cs"/>
          <w:color w:val="000000"/>
          <w:kern w:val="24"/>
          <w:sz w:val="18"/>
          <w:szCs w:val="18"/>
        </w:rPr>
        <w:t>R</w:t>
      </w:r>
      <w:r w:rsidRPr="00763D8D">
        <w:rPr>
          <w:rFonts w:eastAsiaTheme="minorEastAsia" w:hint="cs"/>
          <w:sz w:val="18"/>
          <w:szCs w:val="18"/>
        </w:rPr>
        <w:t xml:space="preserve"> </w:t>
      </w:r>
      <w:r w:rsidRPr="00024A0C">
        <w:rPr>
          <w:rFonts w:eastAsiaTheme="minorEastAsia"/>
        </w:rPr>
        <w:t>%</w:t>
      </w:r>
      <w:r>
        <w:rPr>
          <w:rFonts w:eastAsiaTheme="minorEastAsia"/>
        </w:rPr>
        <w:t xml:space="preserve">, </w:t>
      </w:r>
      <w:r>
        <w:rPr>
          <w:rFonts w:eastAsiaTheme="minorHAnsi"/>
        </w:rPr>
        <w:t>the e</w:t>
      </w:r>
      <w:r w:rsidRPr="003A09EF">
        <w:rPr>
          <w:rFonts w:eastAsiaTheme="minorHAnsi"/>
        </w:rPr>
        <w:t xml:space="preserve">lectrical power required </w:t>
      </w:r>
      <w:r>
        <w:rPr>
          <w:rFonts w:eastAsiaTheme="minorHAnsi"/>
        </w:rPr>
        <w:t>for both</w:t>
      </w:r>
      <w:r w:rsidRPr="003A09EF">
        <w:rPr>
          <w:rFonts w:eastAsiaTheme="minorHAnsi"/>
        </w:rPr>
        <w:t xml:space="preserve"> linac</w:t>
      </w:r>
      <w:r>
        <w:rPr>
          <w:rFonts w:eastAsiaTheme="minorHAnsi"/>
        </w:rPr>
        <w:t>s is</w:t>
      </w:r>
      <w:r w:rsidRPr="003A09EF">
        <w:rPr>
          <w:rFonts w:eastAsiaTheme="minorHAnsi"/>
        </w:rPr>
        <w:t xml:space="preserve"> </w:t>
      </w:r>
      <w:r>
        <w:rPr>
          <w:rFonts w:eastAsiaTheme="minorHAnsi"/>
        </w:rPr>
        <w:t>0.042</w:t>
      </w:r>
      <w:r w:rsidRPr="00024A0C">
        <w:rPr>
          <w:rFonts w:eastAsiaTheme="minorEastAsia"/>
        </w:rPr>
        <w:t xml:space="preserve"> </w:t>
      </w:r>
      <w:r w:rsidRPr="00763D8D">
        <w:rPr>
          <w:rFonts w:ascii="Apple Chancery" w:eastAsia="+mn-ea" w:hAnsi="Apple Chancery" w:cs="Apple Chancery" w:hint="cs"/>
          <w:color w:val="000000"/>
          <w:kern w:val="24"/>
          <w:sz w:val="18"/>
          <w:szCs w:val="18"/>
        </w:rPr>
        <w:t>R</w:t>
      </w:r>
      <w:r w:rsidRPr="003A09EF">
        <w:rPr>
          <w:rFonts w:eastAsiaTheme="minorHAnsi"/>
        </w:rPr>
        <w:t xml:space="preserve"> MW</w:t>
      </w:r>
      <w:r>
        <w:rPr>
          <w:rFonts w:eastAsiaTheme="minorHAnsi"/>
        </w:rPr>
        <w:t xml:space="preserve">, </w:t>
      </w:r>
      <w:r w:rsidRPr="003A09EF">
        <w:rPr>
          <w:rFonts w:eastAsiaTheme="minorHAnsi"/>
        </w:rPr>
        <w:t>independent of the current</w:t>
      </w:r>
      <w:r>
        <w:rPr>
          <w:rFonts w:eastAsiaTheme="minorHAnsi"/>
        </w:rPr>
        <w:t xml:space="preserve">. </w:t>
      </w:r>
    </w:p>
    <w:p w14:paraId="2E4790F6" w14:textId="77777777" w:rsidR="00763D8D" w:rsidRPr="00C175B4" w:rsidRDefault="00763D8D" w:rsidP="00763D8D">
      <w:pPr>
        <w:pStyle w:val="BodyTextIndent"/>
        <w:rPr>
          <w:rFonts w:eastAsiaTheme="minorHAnsi"/>
        </w:rPr>
      </w:pPr>
      <w:r>
        <w:rPr>
          <w:rFonts w:eastAsiaTheme="minorHAnsi"/>
        </w:rPr>
        <w:t xml:space="preserve">The cryogenic power is the largest contributor to the power required by the RF systems. </w:t>
      </w:r>
      <w:r w:rsidRPr="00C175B4">
        <w:rPr>
          <w:rFonts w:eastAsiaTheme="minorHAnsi"/>
        </w:rPr>
        <w:t>The 1.3</w:t>
      </w:r>
      <w:r>
        <w:rPr>
          <w:rFonts w:eastAsiaTheme="minorHAnsi"/>
        </w:rPr>
        <w:t> </w:t>
      </w:r>
      <w:r w:rsidRPr="00C175B4">
        <w:rPr>
          <w:rFonts w:eastAsiaTheme="minorHAnsi"/>
        </w:rPr>
        <w:t>GHz ILC cavity has</w:t>
      </w:r>
      <w:r>
        <w:rPr>
          <w:rFonts w:eastAsiaTheme="minorHAnsi"/>
        </w:rPr>
        <w:t xml:space="preserve"> an</w:t>
      </w:r>
      <w:r w:rsidRPr="00C175B4">
        <w:rPr>
          <w:rFonts w:eastAsiaTheme="minorHAnsi"/>
        </w:rPr>
        <w:t xml:space="preserve"> </w:t>
      </w:r>
      <w:r w:rsidRPr="00C175B4">
        <w:rPr>
          <w:rFonts w:ascii="Cambria Math" w:eastAsiaTheme="minorHAnsi" w:hAnsi="Cambria Math" w:cs="Cambria Math"/>
        </w:rPr>
        <w:t>𝑅</w:t>
      </w:r>
      <w:r w:rsidRPr="00C175B4">
        <w:rPr>
          <w:rFonts w:eastAsiaTheme="minorHAnsi"/>
        </w:rPr>
        <w:t>/</w:t>
      </w:r>
      <w:r w:rsidRPr="00C175B4">
        <w:rPr>
          <w:rFonts w:ascii="Cambria Math" w:eastAsiaTheme="minorHAnsi" w:hAnsi="Cambria Math" w:cs="Cambria Math"/>
        </w:rPr>
        <w:t>𝑄</w:t>
      </w:r>
      <w:r>
        <w:rPr>
          <w:rFonts w:eastAsiaTheme="minorHAnsi"/>
        </w:rPr>
        <w:t xml:space="preserve"> of</w:t>
      </w:r>
      <w:r w:rsidRPr="00C175B4">
        <w:rPr>
          <w:rFonts w:eastAsiaTheme="minorHAnsi"/>
        </w:rPr>
        <w:t xml:space="preserve"> 1</w:t>
      </w:r>
      <w:r>
        <w:rPr>
          <w:rFonts w:eastAsiaTheme="minorHAnsi"/>
        </w:rPr>
        <w:t>,</w:t>
      </w:r>
      <w:r w:rsidRPr="00C175B4">
        <w:rPr>
          <w:rFonts w:eastAsiaTheme="minorHAnsi"/>
        </w:rPr>
        <w:t xml:space="preserve">036 Ohm and a cavity length </w:t>
      </w:r>
      <w:r>
        <w:rPr>
          <w:rFonts w:eastAsiaTheme="minorHAnsi"/>
        </w:rPr>
        <w:t>of</w:t>
      </w:r>
      <w:r w:rsidRPr="00C175B4">
        <w:rPr>
          <w:rFonts w:eastAsiaTheme="minorHAnsi"/>
        </w:rPr>
        <w:t xml:space="preserve"> 1.04 m</w:t>
      </w:r>
      <w:r>
        <w:rPr>
          <w:rFonts w:eastAsiaTheme="minorHAnsi"/>
        </w:rPr>
        <w:t xml:space="preserve">. </w:t>
      </w:r>
    </w:p>
    <w:p w14:paraId="1FE4985F" w14:textId="0B121D3F" w:rsidR="009C73E4" w:rsidRDefault="00763D8D" w:rsidP="009C73E4">
      <w:pPr>
        <w:pStyle w:val="BodyTextIndent"/>
        <w:rPr>
          <w:rFonts w:eastAsiaTheme="minorHAnsi"/>
        </w:rPr>
      </w:pPr>
      <w:r>
        <w:rPr>
          <w:rFonts w:eastAsiaTheme="minorHAnsi"/>
        </w:rPr>
        <w:t>With</w:t>
      </w:r>
      <w:r w:rsidRPr="00C175B4">
        <w:rPr>
          <w:rFonts w:eastAsiaTheme="minorHAnsi"/>
        </w:rPr>
        <w:t xml:space="preserve"> an accelerating gradient </w:t>
      </w:r>
      <w:r w:rsidRPr="00C175B4">
        <w:rPr>
          <w:rFonts w:ascii="Cambria Math" w:eastAsiaTheme="minorHAnsi" w:hAnsi="Cambria Math" w:cs="Cambria Math"/>
        </w:rPr>
        <w:t>𝐺</w:t>
      </w:r>
      <w:r>
        <w:rPr>
          <w:rFonts w:eastAsiaTheme="minorHAnsi"/>
        </w:rPr>
        <w:t xml:space="preserve"> of</w:t>
      </w:r>
      <w:r w:rsidRPr="00C175B4">
        <w:rPr>
          <w:rFonts w:eastAsiaTheme="minorHAnsi"/>
        </w:rPr>
        <w:t xml:space="preserve"> 31.5 MeV/m and</w:t>
      </w:r>
      <w:r>
        <w:rPr>
          <w:rFonts w:eastAsiaTheme="minorHAnsi"/>
        </w:rPr>
        <w:t xml:space="preserve"> a</w:t>
      </w:r>
      <w:r w:rsidRPr="00C175B4">
        <w:rPr>
          <w:rFonts w:eastAsiaTheme="minorHAnsi"/>
        </w:rPr>
        <w:t xml:space="preserve"> </w:t>
      </w:r>
      <w:r w:rsidRPr="00C175B4">
        <w:rPr>
          <w:rFonts w:ascii="Cambria Math" w:eastAsiaTheme="minorHAnsi" w:hAnsi="Cambria Math" w:cs="Cambria Math"/>
        </w:rPr>
        <w:t>𝑄</w:t>
      </w:r>
      <w:r w:rsidRPr="00C175B4">
        <w:rPr>
          <w:rFonts w:eastAsiaTheme="minorHAnsi"/>
          <w:vertAlign w:val="subscript"/>
        </w:rPr>
        <w:t>0</w:t>
      </w:r>
      <w:r w:rsidRPr="00C175B4">
        <w:rPr>
          <w:rFonts w:eastAsiaTheme="minorHAnsi"/>
        </w:rPr>
        <w:t xml:space="preserve"> </w:t>
      </w:r>
      <w:r>
        <w:rPr>
          <w:rFonts w:eastAsiaTheme="minorHAnsi"/>
        </w:rPr>
        <w:t>of</w:t>
      </w:r>
      <w:r w:rsidRPr="00C175B4">
        <w:rPr>
          <w:rFonts w:eastAsiaTheme="minorHAnsi"/>
        </w:rPr>
        <w:t xml:space="preserve"> 2.7 ×10</w:t>
      </w:r>
      <w:r w:rsidRPr="00C175B4">
        <w:rPr>
          <w:rFonts w:eastAsiaTheme="minorHAnsi"/>
          <w:vertAlign w:val="superscript"/>
        </w:rPr>
        <w:t>10</w:t>
      </w:r>
      <w:r>
        <w:rPr>
          <w:rFonts w:eastAsiaTheme="minorHAnsi"/>
        </w:rPr>
        <w:t>, the t</w:t>
      </w:r>
      <w:r w:rsidRPr="00C175B4">
        <w:rPr>
          <w:rFonts w:eastAsiaTheme="minorHAnsi"/>
        </w:rPr>
        <w:t xml:space="preserve">hermal dissipation </w:t>
      </w:r>
      <w:r w:rsidRPr="00C175B4">
        <w:rPr>
          <w:rFonts w:ascii="Cambria Math" w:eastAsiaTheme="minorHAnsi" w:hAnsi="Cambria Math" w:cs="Cambria Math"/>
        </w:rPr>
        <w:t>𝑃</w:t>
      </w:r>
      <w:r w:rsidRPr="00C175B4">
        <w:rPr>
          <w:rFonts w:eastAsiaTheme="minorHAnsi"/>
          <w:vertAlign w:val="subscript"/>
        </w:rPr>
        <w:t>diss</w:t>
      </w:r>
      <w:r w:rsidRPr="00C175B4">
        <w:rPr>
          <w:rFonts w:eastAsiaTheme="minorHAnsi"/>
        </w:rPr>
        <w:t xml:space="preserve"> = 12.1 W/cavity</w:t>
      </w:r>
      <w:r>
        <w:rPr>
          <w:rFonts w:eastAsiaTheme="minorHAnsi"/>
        </w:rPr>
        <w:t xml:space="preserve"> in CW operation. For the</w:t>
      </w:r>
      <w:r w:rsidRPr="00C175B4">
        <w:rPr>
          <w:rFonts w:eastAsiaTheme="minorHAnsi"/>
        </w:rPr>
        <w:t xml:space="preserve"> 4,122 cavities per linac in the Ghost Collider</w:t>
      </w:r>
      <w:r>
        <w:rPr>
          <w:rFonts w:eastAsiaTheme="minorHAnsi"/>
        </w:rPr>
        <w:t>, the t</w:t>
      </w:r>
      <w:r w:rsidRPr="00C175B4">
        <w:rPr>
          <w:rFonts w:eastAsiaTheme="minorHAnsi"/>
        </w:rPr>
        <w:t>otal power dissipated</w:t>
      </w:r>
      <w:r>
        <w:rPr>
          <w:rFonts w:eastAsiaTheme="minorHAnsi"/>
        </w:rPr>
        <w:t xml:space="preserve"> at 2 K for the two linacs</w:t>
      </w:r>
      <w:r w:rsidRPr="00C175B4">
        <w:rPr>
          <w:rFonts w:eastAsiaTheme="minorHAnsi"/>
        </w:rPr>
        <w:t xml:space="preserve"> </w:t>
      </w:r>
      <w:r>
        <w:rPr>
          <w:rFonts w:eastAsiaTheme="minorHAnsi"/>
        </w:rPr>
        <w:t>is</w:t>
      </w:r>
      <w:r w:rsidRPr="00C175B4">
        <w:rPr>
          <w:rFonts w:eastAsiaTheme="minorHAnsi"/>
        </w:rPr>
        <w:t xml:space="preserve"> </w:t>
      </w:r>
      <w:r>
        <w:rPr>
          <w:rFonts w:eastAsiaTheme="minorHAnsi"/>
        </w:rPr>
        <w:t xml:space="preserve">73 </w:t>
      </w:r>
      <w:r w:rsidRPr="00763D8D">
        <w:rPr>
          <w:rFonts w:ascii="Apple Chancery" w:eastAsia="+mn-ea" w:hAnsi="Apple Chancery" w:cs="Apple Chancery" w:hint="cs"/>
          <w:color w:val="000000"/>
          <w:kern w:val="24"/>
          <w:sz w:val="18"/>
          <w:szCs w:val="18"/>
        </w:rPr>
        <w:t>R</w:t>
      </w:r>
      <w:r w:rsidRPr="00C175B4">
        <w:rPr>
          <w:rFonts w:eastAsiaTheme="minorHAnsi"/>
        </w:rPr>
        <w:t xml:space="preserve"> W</w:t>
      </w:r>
      <w:r>
        <w:rPr>
          <w:rFonts w:eastAsiaTheme="minorHAnsi"/>
        </w:rPr>
        <w:t>. The w</w:t>
      </w:r>
      <w:r w:rsidRPr="00C175B4">
        <w:rPr>
          <w:rFonts w:eastAsiaTheme="minorHAnsi"/>
        </w:rPr>
        <w:t xml:space="preserve">all power </w:t>
      </w:r>
      <w:r>
        <w:rPr>
          <w:rFonts w:eastAsiaTheme="minorHAnsi"/>
        </w:rPr>
        <w:t>for both linacs</w:t>
      </w:r>
      <w:r w:rsidRPr="00C175B4">
        <w:rPr>
          <w:rFonts w:eastAsiaTheme="minorHAnsi"/>
        </w:rPr>
        <w:t xml:space="preserve"> </w:t>
      </w:r>
      <w:r>
        <w:rPr>
          <w:rFonts w:eastAsiaTheme="minorHAnsi"/>
        </w:rPr>
        <w:t>is</w:t>
      </w:r>
      <w:r w:rsidRPr="00C175B4">
        <w:rPr>
          <w:rFonts w:eastAsiaTheme="minorHAnsi"/>
        </w:rPr>
        <w:t xml:space="preserve"> 0.</w:t>
      </w:r>
      <w:r>
        <w:rPr>
          <w:rFonts w:eastAsiaTheme="minorHAnsi"/>
        </w:rPr>
        <w:t>66 </w:t>
      </w:r>
      <w:r w:rsidRPr="00763D8D">
        <w:rPr>
          <w:rFonts w:ascii="Apple Chancery" w:eastAsia="+mn-ea" w:hAnsi="Apple Chancery" w:cs="Apple Chancery" w:hint="cs"/>
          <w:color w:val="000000"/>
          <w:kern w:val="24"/>
          <w:sz w:val="18"/>
          <w:szCs w:val="18"/>
        </w:rPr>
        <w:t>R</w:t>
      </w:r>
      <w:r w:rsidRPr="00C175B4">
        <w:rPr>
          <w:rFonts w:eastAsiaTheme="minorHAnsi"/>
        </w:rPr>
        <w:t xml:space="preserve"> MW</w:t>
      </w:r>
      <w:r>
        <w:rPr>
          <w:rFonts w:eastAsiaTheme="minorHAnsi"/>
        </w:rPr>
        <w:t xml:space="preserve"> for</w:t>
      </w:r>
      <w:r w:rsidRPr="00C175B4">
        <w:rPr>
          <w:rFonts w:eastAsiaTheme="minorHAnsi"/>
        </w:rPr>
        <w:t xml:space="preserve"> </w:t>
      </w:r>
      <w:r>
        <w:rPr>
          <w:rFonts w:eastAsiaTheme="minorHAnsi"/>
        </w:rPr>
        <w:t>a</w:t>
      </w:r>
      <w:r w:rsidRPr="00C175B4">
        <w:rPr>
          <w:rFonts w:eastAsiaTheme="minorHAnsi"/>
        </w:rPr>
        <w:t xml:space="preserve"> cryogenic efficiency</w:t>
      </w:r>
      <w:r>
        <w:rPr>
          <w:rFonts w:eastAsiaTheme="minorHAnsi"/>
        </w:rPr>
        <w:t xml:space="preserve"> of</w:t>
      </w:r>
      <w:r w:rsidRPr="00C175B4">
        <w:rPr>
          <w:rFonts w:eastAsiaTheme="minorHAnsi"/>
        </w:rPr>
        <w:t xml:space="preserve"> 900</w:t>
      </w:r>
      <w:r>
        <w:rPr>
          <w:rFonts w:eastAsiaTheme="minorHAnsi"/>
        </w:rPr>
        <w:t> </w:t>
      </w:r>
      <w:r w:rsidRPr="00C175B4">
        <w:rPr>
          <w:rFonts w:eastAsiaTheme="minorHAnsi"/>
        </w:rPr>
        <w:t>watts /watt</w:t>
      </w:r>
      <w:r>
        <w:rPr>
          <w:rFonts w:eastAsiaTheme="minorHAnsi"/>
        </w:rPr>
        <w:t>.</w:t>
      </w:r>
      <w:r w:rsidR="009C73E4">
        <w:rPr>
          <w:rFonts w:eastAsiaTheme="minorHAnsi"/>
        </w:rPr>
        <w:t xml:space="preserve"> </w:t>
      </w:r>
    </w:p>
    <w:p w14:paraId="4A3408AF" w14:textId="6DACE988" w:rsidR="009C73E4" w:rsidRPr="009C73E4" w:rsidRDefault="009C73E4" w:rsidP="009C73E4">
      <w:pPr>
        <w:spacing w:after="100"/>
        <w:rPr>
          <w:rFonts w:ascii="Apple Chancery" w:eastAsia="+mn-ea" w:hAnsi="Apple Chancery" w:cs="Apple Chancery"/>
          <w:color w:val="000000"/>
          <w:kern w:val="24"/>
          <w:sz w:val="22"/>
          <w:szCs w:val="22"/>
        </w:rPr>
      </w:pPr>
      <w:r w:rsidRPr="00EB2E0A">
        <w:rPr>
          <w:noProof/>
          <w:sz w:val="28"/>
          <w:szCs w:val="28"/>
        </w:rPr>
        <mc:AlternateContent>
          <mc:Choice Requires="wps">
            <w:drawing>
              <wp:anchor distT="0" distB="0" distL="114300" distR="114300" simplePos="0" relativeHeight="251682304" behindDoc="1" locked="0" layoutInCell="1" allowOverlap="1" wp14:anchorId="5577A2B2" wp14:editId="4C07799F">
                <wp:simplePos x="0" y="0"/>
                <wp:positionH relativeFrom="column">
                  <wp:posOffset>-165100</wp:posOffset>
                </wp:positionH>
                <wp:positionV relativeFrom="paragraph">
                  <wp:posOffset>399415</wp:posOffset>
                </wp:positionV>
                <wp:extent cx="3187700" cy="2559050"/>
                <wp:effectExtent l="0" t="0" r="0" b="0"/>
                <wp:wrapTight wrapText="bothSides">
                  <wp:wrapPolygon edited="0">
                    <wp:start x="430" y="107"/>
                    <wp:lineTo x="430" y="21332"/>
                    <wp:lineTo x="21084" y="21332"/>
                    <wp:lineTo x="20998" y="107"/>
                    <wp:lineTo x="430" y="107"/>
                  </wp:wrapPolygon>
                </wp:wrapTight>
                <wp:docPr id="2021507471" name="Text Box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wps:cNvSpPr>
                      <wps:spPr>
                        <a:xfrm>
                          <a:off x="0" y="0"/>
                          <a:ext cx="3187700" cy="2559050"/>
                        </a:xfrm>
                        <a:prstGeom prst="rect">
                          <a:avLst/>
                        </a:prstGeom>
                        <a:noFill/>
                        <a:ln w="6350">
                          <a:noFill/>
                        </a:ln>
                      </wps:spPr>
                      <wps:txbx>
                        <w:txbxContent>
                          <w:p w14:paraId="3C600D1F" w14:textId="77777777" w:rsidR="009C73E4" w:rsidRDefault="009C73E4" w:rsidP="009C73E4">
                            <w:pPr>
                              <w:spacing w:after="100" w:line="278" w:lineRule="auto"/>
                            </w:pPr>
                            <w:r>
                              <w:rPr>
                                <w:rFonts w:eastAsiaTheme="minorHAnsi"/>
                                <w:noProof/>
                                <w:kern w:val="2"/>
                                <w14:ligatures w14:val="standardContextual"/>
                              </w:rPr>
                              <w:drawing>
                                <wp:inline distT="0" distB="0" distL="0" distR="0" wp14:anchorId="0E8DE082" wp14:editId="7FD7827A">
                                  <wp:extent cx="3017520" cy="2048256"/>
                                  <wp:effectExtent l="0" t="0" r="5080" b="0"/>
                                  <wp:docPr id="104800579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6466755" name="Picture 916466755"/>
                                          <pic:cNvPicPr/>
                                        </pic:nvPicPr>
                                        <pic:blipFill>
                                          <a:blip r:embed="rId16">
                                            <a:extLst>
                                              <a:ext uri="{28A0092B-C50C-407E-A947-70E740481C1C}">
                                                <a14:useLocalDpi xmlns:a14="http://schemas.microsoft.com/office/drawing/2010/main" val="0"/>
                                              </a:ext>
                                            </a:extLst>
                                          </a:blip>
                                          <a:stretch>
                                            <a:fillRect/>
                                          </a:stretch>
                                        </pic:blipFill>
                                        <pic:spPr>
                                          <a:xfrm>
                                            <a:off x="0" y="0"/>
                                            <a:ext cx="3017520" cy="2048256"/>
                                          </a:xfrm>
                                          <a:prstGeom prst="rect">
                                            <a:avLst/>
                                          </a:prstGeom>
                                        </pic:spPr>
                                      </pic:pic>
                                    </a:graphicData>
                                  </a:graphic>
                                </wp:inline>
                              </w:drawing>
                            </w:r>
                          </w:p>
                          <w:p w14:paraId="4BE44091" w14:textId="724B900A" w:rsidR="009C73E4" w:rsidRPr="00D234CE" w:rsidRDefault="009C73E4" w:rsidP="009C73E4">
                            <w:pPr>
                              <w:pStyle w:val="Caption"/>
                              <w:rPr>
                                <w:szCs w:val="20"/>
                              </w:rPr>
                            </w:pPr>
                            <w:bookmarkStart w:id="3" w:name="_Ref204173697"/>
                            <w:bookmarkStart w:id="4" w:name="_Ref204173634"/>
                            <w:r w:rsidRPr="00D234CE">
                              <w:rPr>
                                <w:szCs w:val="20"/>
                              </w:rPr>
                              <w:t xml:space="preserve">Figure </w:t>
                            </w:r>
                            <w:bookmarkEnd w:id="3"/>
                            <w:r>
                              <w:rPr>
                                <w:szCs w:val="20"/>
                              </w:rPr>
                              <w:t xml:space="preserve">6: </w:t>
                            </w:r>
                            <w:r w:rsidRPr="00D234CE">
                              <w:rPr>
                                <w:szCs w:val="20"/>
                              </w:rPr>
                              <w:t>Luminosity per IP and the Facility Luminosity as a Function of the Train Repetition Rate</w:t>
                            </w:r>
                            <w:bookmarkEnd w:id="4"/>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77A2B2" id="_x0000_s1029" type="#_x0000_t202" style="position:absolute;margin-left:-13pt;margin-top:31.45pt;width:251pt;height:201.5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" filled="f" stroked="f" strokeweight=".5pt">
                <o:lock v:ext="edit" aspectratio="t"/>
                <v:textbox>
                  <w:txbxContent>
                    <w:p w14:paraId="3C600D1F" w14:textId="77777777" w:rsidR="009C73E4" w:rsidRDefault="009C73E4" w:rsidP="009C73E4">
                      <w:pPr>
                        <w:spacing w:after="100" w:line="278" w:lineRule="auto"/>
                      </w:pPr>
                      <w:r>
                        <w:rPr>
                          <w:rFonts w:eastAsiaTheme="minorHAnsi"/>
                          <w:noProof/>
                          <w:kern w:val="2"/>
                          <w14:ligatures w14:val="standardContextual"/>
                        </w:rPr>
                        <w:drawing>
                          <wp:inline distT="0" distB="0" distL="0" distR="0" wp14:anchorId="0E8DE082" wp14:editId="7FD7827A">
                            <wp:extent cx="3017520" cy="2048256"/>
                            <wp:effectExtent l="0" t="0" r="5080" b="0"/>
                            <wp:docPr id="104800579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6466755" name="Picture 916466755"/>
                                    <pic:cNvPicPr/>
                                  </pic:nvPicPr>
                                  <pic:blipFill>
                                    <a:blip r:embed="rId17">
                                      <a:extLst>
                                        <a:ext uri="{28A0092B-C50C-407E-A947-70E740481C1C}">
                                          <a14:useLocalDpi xmlns:a14="http://schemas.microsoft.com/office/drawing/2010/main" val="0"/>
                                        </a:ext>
                                      </a:extLst>
                                    </a:blip>
                                    <a:stretch>
                                      <a:fillRect/>
                                    </a:stretch>
                                  </pic:blipFill>
                                  <pic:spPr>
                                    <a:xfrm>
                                      <a:off x="0" y="0"/>
                                      <a:ext cx="3017520" cy="2048256"/>
                                    </a:xfrm>
                                    <a:prstGeom prst="rect">
                                      <a:avLst/>
                                    </a:prstGeom>
                                  </pic:spPr>
                                </pic:pic>
                              </a:graphicData>
                            </a:graphic>
                          </wp:inline>
                        </w:drawing>
                      </w:r>
                    </w:p>
                    <w:p w14:paraId="4BE44091" w14:textId="724B900A" w:rsidR="009C73E4" w:rsidRPr="00D234CE" w:rsidRDefault="009C73E4" w:rsidP="009C73E4">
                      <w:pPr>
                        <w:pStyle w:val="Caption"/>
                        <w:rPr>
                          <w:szCs w:val="20"/>
                        </w:rPr>
                      </w:pPr>
                      <w:bookmarkStart w:id="5" w:name="_Ref204173697"/>
                      <w:bookmarkStart w:id="6" w:name="_Ref204173634"/>
                      <w:r w:rsidRPr="00D234CE">
                        <w:rPr>
                          <w:szCs w:val="20"/>
                        </w:rPr>
                        <w:t xml:space="preserve">Figure </w:t>
                      </w:r>
                      <w:bookmarkEnd w:id="5"/>
                      <w:r>
                        <w:rPr>
                          <w:szCs w:val="20"/>
                        </w:rPr>
                        <w:t xml:space="preserve">6: </w:t>
                      </w:r>
                      <w:r w:rsidRPr="00D234CE">
                        <w:rPr>
                          <w:szCs w:val="20"/>
                        </w:rPr>
                        <w:t>Luminosity per IP and the Facility Luminosity as a Function of the Train Repetition Rate</w:t>
                      </w:r>
                      <w:bookmarkEnd w:id="6"/>
                    </w:p>
                  </w:txbxContent>
                </v:textbox>
                <w10:wrap type="tight"/>
              </v:shape>
            </w:pict>
          </mc:Fallback>
        </mc:AlternateContent>
      </w:r>
      <w:r>
        <w:rPr>
          <w:rFonts w:eastAsiaTheme="minorHAnsi"/>
          <w:kern w:val="2"/>
          <w14:ligatures w14:val="standardContextual"/>
        </w:rPr>
        <w:t xml:space="preserve">The total power required for the RF systems is plotted in </w:t>
      </w:r>
      <w:r w:rsidR="001E74E2">
        <w:rPr>
          <w:rFonts w:eastAsiaTheme="minorHAnsi"/>
          <w:kern w:val="2"/>
          <w14:ligatures w14:val="standardContextual"/>
        </w:rPr>
        <w:t>Fig. 6</w:t>
      </w:r>
      <w:r>
        <w:rPr>
          <w:rFonts w:eastAsiaTheme="minorHAnsi"/>
          <w:kern w:val="2"/>
          <w14:ligatures w14:val="standardContextual"/>
        </w:rPr>
        <w:t xml:space="preserve"> as a function of </w:t>
      </w:r>
      <w:r w:rsidRPr="009C73E4">
        <w:rPr>
          <w:rFonts w:ascii="Apple Chancery" w:eastAsia="+mn-ea" w:hAnsi="Apple Chancery" w:cs="Apple Chancery" w:hint="cs"/>
          <w:color w:val="000000"/>
          <w:kern w:val="24"/>
          <w:sz w:val="18"/>
        </w:rPr>
        <w:t>R</w:t>
      </w:r>
      <w:r>
        <w:rPr>
          <w:rFonts w:ascii="Apple Chancery" w:eastAsia="+mn-ea" w:hAnsi="Apple Chancery" w:cs="Apple Chancery"/>
          <w:color w:val="000000"/>
          <w:kern w:val="24"/>
          <w:sz w:val="22"/>
          <w:szCs w:val="22"/>
        </w:rPr>
        <w:t xml:space="preserve">. </w:t>
      </w:r>
    </w:p>
    <w:p w14:paraId="5782A656" w14:textId="77777777" w:rsidR="009C73E4" w:rsidRDefault="009C73E4" w:rsidP="009C73E4">
      <w:pPr>
        <w:pStyle w:val="BodyTextIndent"/>
        <w:rPr>
          <w:rFonts w:eastAsiaTheme="minorHAnsi"/>
        </w:rPr>
      </w:pPr>
    </w:p>
    <w:p w14:paraId="7DB21C16" w14:textId="77777777" w:rsidR="00763D8D" w:rsidRPr="00367357" w:rsidRDefault="00763D8D" w:rsidP="00763D8D">
      <w:pPr>
        <w:pStyle w:val="Heading3"/>
      </w:pPr>
      <w:r w:rsidRPr="00367357">
        <w:t>Luminosity</w:t>
      </w:r>
    </w:p>
    <w:p w14:paraId="34EC8109" w14:textId="30C41581" w:rsidR="00763D8D" w:rsidRPr="004B02D5" w:rsidRDefault="00763D8D" w:rsidP="00763D8D">
      <w:pPr>
        <w:pStyle w:val="BodyTextIndent"/>
      </w:pPr>
      <w:r w:rsidRPr="004B02D5">
        <w:rPr>
          <w:rFonts w:eastAsiaTheme="minorEastAsia"/>
        </w:rPr>
        <w:t xml:space="preserve">The luminosity per bunch crossing is given by </w:t>
      </w:r>
    </w:p>
    <w:p w14:paraId="701F18A6" w14:textId="77777777" w:rsidR="00763D8D" w:rsidRPr="004B02D5" w:rsidRDefault="003E38B5" w:rsidP="00763D8D">
      <w:pPr>
        <w:pStyle w:val="BodyTextIndent"/>
      </w:pPr>
      <m:oMathPara>
        <m:oMath>
          <m:sSub>
            <m:sSubPr>
              <m:ctrlPr>
                <w:rPr>
                  <w:rFonts w:ascii="Cambria Math" w:hAnsi="Cambria Math"/>
                  <w:i/>
                  <w:iCs/>
                </w:rPr>
              </m:ctrlPr>
            </m:sSubPr>
            <m:e>
              <m:r>
                <w:rPr>
                  <w:rFonts w:ascii="Cambria Math" w:hAnsi="Cambria Math"/>
                </w:rPr>
                <m:t>L</m:t>
              </m:r>
            </m:e>
            <m:sub>
              <m:r>
                <w:rPr>
                  <w:rFonts w:ascii="Cambria Math" w:hAnsi="Cambria Math"/>
                </w:rPr>
                <m:t>b</m:t>
              </m:r>
            </m:sub>
          </m:sSub>
          <m:r>
            <m:rPr>
              <m:sty m:val="p"/>
            </m:rPr>
            <w:rPr>
              <w:rFonts w:ascii="Cambria Math" w:hAnsi="Cambria Math"/>
            </w:rPr>
            <m:t>=</m:t>
          </m:r>
          <m:f>
            <m:fPr>
              <m:ctrlPr>
                <w:rPr>
                  <w:rFonts w:ascii="Cambria Math" w:hAnsi="Cambria Math"/>
                  <w:i/>
                  <w:iCs/>
                </w:rPr>
              </m:ctrlPr>
            </m:fPr>
            <m:num>
              <m:sSup>
                <m:sSupPr>
                  <m:ctrlPr>
                    <w:rPr>
                      <w:rFonts w:ascii="Cambria Math" w:hAnsi="Cambria Math"/>
                      <w:i/>
                      <w:iCs/>
                    </w:rPr>
                  </m:ctrlPr>
                </m:sSupPr>
                <m:e>
                  <m:r>
                    <w:rPr>
                      <w:rFonts w:ascii="Cambria Math" w:hAnsi="Cambria Math"/>
                    </w:rPr>
                    <m:t>N</m:t>
                  </m:r>
                </m:e>
                <m:sup>
                  <m:r>
                    <m:rPr>
                      <m:sty m:val="p"/>
                    </m:rPr>
                    <w:rPr>
                      <w:rFonts w:ascii="Cambria Math" w:hAnsi="Cambria Math"/>
                    </w:rPr>
                    <m:t>2</m:t>
                  </m:r>
                </m:sup>
              </m:sSup>
              <m:r>
                <m:rPr>
                  <m:sty m:val="p"/>
                </m:rPr>
                <w:rPr>
                  <w:rFonts w:ascii="Cambria Math" w:hAnsi="Cambria Math"/>
                </w:rPr>
                <m:t> </m:t>
              </m:r>
            </m:num>
            <m:den>
              <m:r>
                <m:rPr>
                  <m:sty m:val="p"/>
                </m:rPr>
                <w:rPr>
                  <w:rFonts w:ascii="Cambria Math" w:hAnsi="Cambria Math"/>
                </w:rPr>
                <m:t>4π</m:t>
              </m:r>
              <m:sSub>
                <m:sSubPr>
                  <m:ctrlPr>
                    <w:rPr>
                      <w:rFonts w:ascii="Cambria Math" w:hAnsi="Cambria Math"/>
                      <w:i/>
                      <w:iCs/>
                    </w:rPr>
                  </m:ctrlPr>
                </m:sSubPr>
                <m:e>
                  <m:r>
                    <m:rPr>
                      <m:sty m:val="p"/>
                    </m:rPr>
                    <w:rPr>
                      <w:rFonts w:ascii="Cambria Math" w:hAnsi="Cambria Math"/>
                    </w:rPr>
                    <m:t>σ</m:t>
                  </m:r>
                </m:e>
                <m:sub>
                  <m:r>
                    <m:rPr>
                      <m:sty m:val="p"/>
                    </m:rPr>
                    <w:rPr>
                      <w:rFonts w:ascii="Cambria Math" w:hAnsi="Cambria Math"/>
                    </w:rPr>
                    <m:t>x</m:t>
                  </m:r>
                </m:sub>
              </m:sSub>
              <m:sSub>
                <m:sSubPr>
                  <m:ctrlPr>
                    <w:rPr>
                      <w:rFonts w:ascii="Cambria Math" w:hAnsi="Cambria Math"/>
                      <w:i/>
                      <w:iCs/>
                    </w:rPr>
                  </m:ctrlPr>
                </m:sSubPr>
                <m:e>
                  <m:r>
                    <m:rPr>
                      <m:sty m:val="p"/>
                    </m:rPr>
                    <w:rPr>
                      <w:rFonts w:ascii="Cambria Math" w:hAnsi="Cambria Math"/>
                    </w:rPr>
                    <m:t>σ</m:t>
                  </m:r>
                </m:e>
                <m:sub>
                  <m:r>
                    <m:rPr>
                      <m:sty m:val="p"/>
                    </m:rPr>
                    <w:rPr>
                      <w:rFonts w:ascii="Cambria Math" w:hAnsi="Cambria Math"/>
                    </w:rPr>
                    <m:t>y</m:t>
                  </m:r>
                </m:sub>
              </m:sSub>
            </m:den>
          </m:f>
        </m:oMath>
      </m:oMathPara>
    </w:p>
    <w:p w14:paraId="74018519" w14:textId="77777777" w:rsidR="00763D8D" w:rsidRPr="004B02D5" w:rsidRDefault="00763D8D" w:rsidP="00763D8D">
      <w:pPr>
        <w:pStyle w:val="BodyTextIndent"/>
      </w:pPr>
      <w:r w:rsidRPr="004B02D5">
        <w:rPr>
          <w:rFonts w:eastAsiaTheme="minorEastAsia"/>
        </w:rPr>
        <w:t xml:space="preserve">Where </w:t>
      </w:r>
      <w:r w:rsidRPr="004B14F3">
        <w:rPr>
          <w:rFonts w:eastAsiaTheme="minorEastAsia"/>
          <w:i/>
          <w:iCs/>
        </w:rPr>
        <w:t>N</w:t>
      </w:r>
      <w:r w:rsidRPr="004B02D5">
        <w:rPr>
          <w:rFonts w:eastAsiaTheme="minorEastAsia"/>
        </w:rPr>
        <w:t xml:space="preserve"> is the number of particles in a bunch, assumed equal for electrons and positrons</w:t>
      </w:r>
      <w:r>
        <w:t xml:space="preserve">, </w:t>
      </w:r>
      <w:r w:rsidRPr="004B02D5">
        <w:rPr>
          <w:rFonts w:eastAsiaTheme="minorEastAsia"/>
          <w:i/>
          <w:iCs/>
        </w:rPr>
        <w:t>f</w:t>
      </w:r>
      <w:r w:rsidRPr="004B02D5">
        <w:rPr>
          <w:rFonts w:eastAsiaTheme="minorEastAsia"/>
        </w:rPr>
        <w:t xml:space="preserve"> is the revolution frequency</w:t>
      </w:r>
      <w:r>
        <w:t>,</w:t>
      </w:r>
      <w:r w:rsidRPr="004B02D5">
        <w:rPr>
          <w:rFonts w:eastAsiaTheme="minorEastAsia"/>
        </w:rPr>
        <w:t xml:space="preserve"> </w:t>
      </w:r>
      <w:r>
        <w:t xml:space="preserve">and </w:t>
      </w:r>
      <m:oMath>
        <m:sSub>
          <m:sSubPr>
            <m:ctrlPr>
              <w:rPr>
                <w:rFonts w:ascii="Cambria Math" w:hAnsi="Cambria Math"/>
                <w:i/>
                <w:iCs/>
              </w:rPr>
            </m:ctrlPr>
          </m:sSubPr>
          <m:e>
            <m:r>
              <w:rPr>
                <w:rFonts w:ascii="Cambria Math" w:hAnsi="Cambria Math"/>
              </w:rPr>
              <m:t>σ</m:t>
            </m:r>
          </m:e>
          <m:sub>
            <m:r>
              <w:rPr>
                <w:rFonts w:ascii="Cambria Math" w:hAnsi="Cambria Math"/>
              </w:rPr>
              <m:t>x</m:t>
            </m:r>
          </m:sub>
        </m:sSub>
      </m:oMath>
      <w:r w:rsidRPr="004B02D5">
        <w:rPr>
          <w:rFonts w:eastAsia="Cambria Math"/>
        </w:rPr>
        <w:t xml:space="preserve"> </w:t>
      </w:r>
      <w:r w:rsidRPr="004B02D5">
        <w:rPr>
          <w:rFonts w:eastAsiaTheme="minorEastAsia"/>
        </w:rPr>
        <w:t xml:space="preserve">and </w:t>
      </w:r>
      <m:oMath>
        <m:sSub>
          <m:sSubPr>
            <m:ctrlPr>
              <w:rPr>
                <w:rFonts w:ascii="Cambria Math" w:hAnsi="Cambria Math"/>
                <w:i/>
                <w:iCs/>
              </w:rPr>
            </m:ctrlPr>
          </m:sSubPr>
          <m:e>
            <m:r>
              <w:rPr>
                <w:rFonts w:ascii="Cambria Math" w:hAnsi="Cambria Math"/>
              </w:rPr>
              <m:t>σ</m:t>
            </m:r>
          </m:e>
          <m:sub>
            <m:r>
              <w:rPr>
                <w:rFonts w:ascii="Cambria Math" w:hAnsi="Cambria Math"/>
              </w:rPr>
              <m:t>y</m:t>
            </m:r>
          </m:sub>
        </m:sSub>
      </m:oMath>
      <w:r w:rsidRPr="004B02D5">
        <w:rPr>
          <w:rFonts w:eastAsia="Cambria Math"/>
        </w:rPr>
        <w:t xml:space="preserve"> </w:t>
      </w:r>
      <w:r w:rsidRPr="004B02D5">
        <w:rPr>
          <w:rFonts w:eastAsiaTheme="minorEastAsia"/>
        </w:rPr>
        <w:t>are the beam sizes at the interaction point</w:t>
      </w:r>
      <w:r>
        <w:t>. Using the previous values:</w:t>
      </w:r>
      <w:r w:rsidRPr="004B02D5">
        <w:rPr>
          <w:rFonts w:eastAsiaTheme="minorEastAsia"/>
        </w:rPr>
        <w:t xml:space="preserve"> </w:t>
      </w:r>
      <m:oMath>
        <m:sSubSup>
          <m:sSubSupPr>
            <m:ctrlPr>
              <w:rPr>
                <w:rFonts w:ascii="Cambria Math" w:hAnsi="Cambria Math"/>
                <w:i/>
                <w:iCs/>
              </w:rPr>
            </m:ctrlPr>
          </m:sSubSupPr>
          <m:e>
            <m:r>
              <w:rPr>
                <w:rFonts w:ascii="Cambria Math" w:hAnsi="Cambria Math"/>
              </w:rPr>
              <m:t>β</m:t>
            </m:r>
          </m:e>
          <m:sub>
            <m:r>
              <w:rPr>
                <w:rFonts w:ascii="Cambria Math" w:hAnsi="Cambria Math"/>
              </w:rPr>
              <m:t>x</m:t>
            </m:r>
          </m:sub>
          <m:sup>
            <m:r>
              <w:rPr>
                <w:rFonts w:ascii="Cambria Math" w:hAnsi="Cambria Math"/>
              </w:rPr>
              <m:t>*</m:t>
            </m:r>
          </m:sup>
        </m:sSubSup>
      </m:oMath>
      <w:r w:rsidRPr="004B02D5">
        <w:rPr>
          <w:rFonts w:eastAsiaTheme="minorEastAsia"/>
        </w:rPr>
        <w:t xml:space="preserve"> = </w:t>
      </w:r>
      <m:oMath>
        <m:sSubSup>
          <m:sSubSupPr>
            <m:ctrlPr>
              <w:rPr>
                <w:rFonts w:ascii="Cambria Math" w:hAnsi="Cambria Math"/>
                <w:i/>
                <w:iCs/>
              </w:rPr>
            </m:ctrlPr>
          </m:sSubSupPr>
          <m:e>
            <m:r>
              <w:rPr>
                <w:rFonts w:ascii="Cambria Math" w:hAnsi="Cambria Math"/>
              </w:rPr>
              <m:t>β</m:t>
            </m:r>
          </m:e>
          <m:sub>
            <m:r>
              <w:rPr>
                <w:rFonts w:ascii="Cambria Math" w:hAnsi="Cambria Math"/>
              </w:rPr>
              <m:t>y</m:t>
            </m:r>
          </m:sub>
          <m:sup>
            <m:r>
              <w:rPr>
                <w:rFonts w:ascii="Cambria Math" w:hAnsi="Cambria Math"/>
              </w:rPr>
              <m:t>*</m:t>
            </m:r>
          </m:sup>
        </m:sSubSup>
      </m:oMath>
      <w:r w:rsidRPr="004B02D5">
        <w:rPr>
          <w:rFonts w:eastAsiaTheme="minorEastAsia"/>
        </w:rPr>
        <w:t xml:space="preserve"> = 2 mm; </w:t>
      </w:r>
      <m:oMath>
        <m:sSub>
          <m:sSubPr>
            <m:ctrlPr>
              <w:rPr>
                <w:rFonts w:ascii="Cambria Math" w:hAnsi="Cambria Math"/>
                <w:i/>
                <w:iCs/>
              </w:rPr>
            </m:ctrlPr>
          </m:sSubPr>
          <m:e>
            <m:r>
              <w:rPr>
                <w:rFonts w:ascii="Cambria Math" w:hAnsi="Cambria Math"/>
              </w:rPr>
              <m:t>γε</m:t>
            </m:r>
          </m:e>
          <m:sub>
            <m:r>
              <w:rPr>
                <w:rFonts w:ascii="Cambria Math" w:hAnsi="Cambria Math"/>
              </w:rPr>
              <m:t>x</m:t>
            </m:r>
          </m:sub>
        </m:sSub>
      </m:oMath>
      <w:r w:rsidRPr="004B02D5">
        <w:rPr>
          <w:rFonts w:eastAsiaTheme="minorEastAsia"/>
        </w:rPr>
        <w:t xml:space="preserve"> = </w:t>
      </w:r>
      <m:oMath>
        <m:sSub>
          <m:sSubPr>
            <m:ctrlPr>
              <w:rPr>
                <w:rFonts w:ascii="Cambria Math" w:hAnsi="Cambria Math"/>
                <w:i/>
                <w:iCs/>
              </w:rPr>
            </m:ctrlPr>
          </m:sSubPr>
          <m:e>
            <m:r>
              <w:rPr>
                <w:rFonts w:ascii="Cambria Math" w:hAnsi="Cambria Math"/>
              </w:rPr>
              <m:t>γε</m:t>
            </m:r>
          </m:e>
          <m:sub>
            <m:r>
              <w:rPr>
                <w:rFonts w:ascii="Cambria Math" w:hAnsi="Cambria Math"/>
              </w:rPr>
              <m:t>y</m:t>
            </m:r>
          </m:sub>
        </m:sSub>
      </m:oMath>
      <w:r w:rsidRPr="004B02D5">
        <w:rPr>
          <w:rFonts w:eastAsiaTheme="minorEastAsia"/>
        </w:rPr>
        <w:t xml:space="preserve"> = 6.5 mm-mrad</w:t>
      </w:r>
      <w:r>
        <w:rPr>
          <w:rFonts w:eastAsiaTheme="minorEastAsia"/>
        </w:rPr>
        <w:t xml:space="preserve">, </w:t>
      </w:r>
      <m:oMath>
        <m:sSub>
          <m:sSubPr>
            <m:ctrlPr>
              <w:rPr>
                <w:rFonts w:ascii="Cambria Math" w:hAnsi="Cambria Math"/>
                <w:i/>
                <w:iCs/>
              </w:rPr>
            </m:ctrlPr>
          </m:sSubPr>
          <m:e>
            <m:r>
              <w:rPr>
                <w:rFonts w:ascii="Cambria Math" w:hAnsi="Cambria Math"/>
              </w:rPr>
              <m:t>σ</m:t>
            </m:r>
          </m:e>
          <m:sub>
            <m:r>
              <w:rPr>
                <w:rFonts w:ascii="Cambria Math" w:hAnsi="Cambria Math"/>
              </w:rPr>
              <m:t>x</m:t>
            </m:r>
          </m:sub>
        </m:sSub>
        <m:sSub>
          <m:sSubPr>
            <m:ctrlPr>
              <w:rPr>
                <w:rFonts w:ascii="Cambria Math" w:hAnsi="Cambria Math"/>
                <w:i/>
                <w:iCs/>
              </w:rPr>
            </m:ctrlPr>
          </m:sSubPr>
          <m:e>
            <m:r>
              <w:rPr>
                <w:rFonts w:ascii="Cambria Math" w:hAnsi="Cambria Math"/>
              </w:rPr>
              <m:t>σ</m:t>
            </m:r>
          </m:e>
          <m:sub>
            <m:r>
              <w:rPr>
                <w:rFonts w:ascii="Cambria Math" w:hAnsi="Cambria Math"/>
              </w:rPr>
              <m:t>y</m:t>
            </m:r>
          </m:sub>
        </m:sSub>
      </m:oMath>
      <w:r>
        <w:rPr>
          <w:rFonts w:eastAsiaTheme="minorEastAsia"/>
        </w:rPr>
        <w:t> </w:t>
      </w:r>
      <w:r w:rsidRPr="004B02D5">
        <w:rPr>
          <w:rFonts w:eastAsiaTheme="minorEastAsia"/>
        </w:rPr>
        <w:t>=</w:t>
      </w:r>
      <w:r>
        <w:rPr>
          <w:rFonts w:eastAsiaTheme="minorEastAsia"/>
        </w:rPr>
        <w:t> </w:t>
      </w:r>
      <w:r w:rsidRPr="004B02D5">
        <w:rPr>
          <w:rFonts w:eastAsiaTheme="minorEastAsia"/>
        </w:rPr>
        <w:t>2.4 x 10</w:t>
      </w:r>
      <w:r w:rsidRPr="004B02D5">
        <w:rPr>
          <w:rFonts w:eastAsiaTheme="minorEastAsia"/>
          <w:vertAlign w:val="superscript"/>
        </w:rPr>
        <w:t xml:space="preserve">-14 </w:t>
      </w:r>
      <w:r w:rsidRPr="004B02D5">
        <w:rPr>
          <w:rFonts w:eastAsiaTheme="minorEastAsia"/>
        </w:rPr>
        <w:t>m</w:t>
      </w:r>
      <w:r w:rsidRPr="004B02D5">
        <w:rPr>
          <w:rFonts w:eastAsiaTheme="minorEastAsia"/>
          <w:vertAlign w:val="superscript"/>
        </w:rPr>
        <w:t>2</w:t>
      </w:r>
      <w:r w:rsidRPr="0066391C">
        <w:t xml:space="preserve"> and</w:t>
      </w:r>
      <w:r>
        <w:t xml:space="preserve"> finally </w:t>
      </w:r>
      <m:oMath>
        <m:sSub>
          <m:sSubPr>
            <m:ctrlPr>
              <w:rPr>
                <w:rFonts w:ascii="Cambria Math" w:hAnsi="Cambria Math"/>
                <w:i/>
                <w:iCs/>
              </w:rPr>
            </m:ctrlPr>
          </m:sSubPr>
          <m:e>
            <m:r>
              <w:rPr>
                <w:rFonts w:ascii="Cambria Math" w:hAnsi="Cambria Math"/>
              </w:rPr>
              <m:t>L</m:t>
            </m:r>
          </m:e>
          <m:sub>
            <m:r>
              <w:rPr>
                <w:rFonts w:ascii="Cambria Math" w:hAnsi="Cambria Math"/>
              </w:rPr>
              <m:t>b</m:t>
            </m:r>
          </m:sub>
        </m:sSub>
        <m:r>
          <m:rPr>
            <m:sty m:val="p"/>
          </m:rPr>
          <w:rPr>
            <w:rFonts w:ascii="Cambria Math" w:hAnsi="Cambria Math"/>
          </w:rPr>
          <m:t>=</m:t>
        </m:r>
      </m:oMath>
      <w:r w:rsidRPr="004B02D5">
        <w:rPr>
          <w:rFonts w:eastAsiaTheme="minorEastAsia"/>
        </w:rPr>
        <w:t xml:space="preserve"> </w:t>
      </w:r>
      <w:r w:rsidRPr="00F630D9">
        <w:rPr>
          <w:rFonts w:eastAsiaTheme="minorEastAsia"/>
        </w:rPr>
        <w:t>5.3 x 10</w:t>
      </w:r>
      <w:r w:rsidRPr="00F630D9">
        <w:rPr>
          <w:rFonts w:eastAsiaTheme="minorEastAsia"/>
          <w:vertAlign w:val="superscript"/>
        </w:rPr>
        <w:t>29</w:t>
      </w:r>
      <w:r w:rsidRPr="00F630D9">
        <w:rPr>
          <w:rFonts w:eastAsiaTheme="minorEastAsia"/>
        </w:rPr>
        <w:t xml:space="preserve"> cm</w:t>
      </w:r>
      <w:r w:rsidRPr="00F630D9">
        <w:rPr>
          <w:rFonts w:eastAsiaTheme="minorEastAsia"/>
          <w:vertAlign w:val="superscript"/>
        </w:rPr>
        <w:t>-2</w:t>
      </w:r>
      <w:r w:rsidRPr="004B14F3">
        <w:rPr>
          <w:rFonts w:eastAsiaTheme="minorEastAsia"/>
        </w:rPr>
        <w:t>.</w:t>
      </w:r>
      <w:r>
        <w:rPr>
          <w:rFonts w:eastAsiaTheme="minorEastAsia"/>
        </w:rPr>
        <w:t xml:space="preserve"> </w:t>
      </w:r>
    </w:p>
    <w:p w14:paraId="795C0664" w14:textId="77777777" w:rsidR="00763D8D" w:rsidRDefault="00763D8D" w:rsidP="00763D8D">
      <w:pPr>
        <w:pStyle w:val="BodyTextIndent"/>
      </w:pPr>
      <w:r>
        <w:t xml:space="preserve">This should be compared with the luminosity per bunch of the ILC = </w:t>
      </w:r>
      <w:r w:rsidRPr="00265973">
        <w:rPr>
          <w:rFonts w:eastAsiaTheme="minorEastAsia"/>
        </w:rPr>
        <w:t>1.42 x 10</w:t>
      </w:r>
      <w:r w:rsidRPr="00265973">
        <w:rPr>
          <w:rFonts w:eastAsiaTheme="minorEastAsia"/>
          <w:vertAlign w:val="superscript"/>
        </w:rPr>
        <w:t xml:space="preserve">30 </w:t>
      </w:r>
      <w:r w:rsidRPr="00265973">
        <w:rPr>
          <w:rFonts w:eastAsiaTheme="minorEastAsia"/>
        </w:rPr>
        <w:t>cm</w:t>
      </w:r>
      <w:r w:rsidRPr="00265973">
        <w:rPr>
          <w:rFonts w:eastAsiaTheme="minorEastAsia"/>
          <w:vertAlign w:val="superscript"/>
        </w:rPr>
        <w:t>-2</w:t>
      </w:r>
      <w:r>
        <w:t xml:space="preserve">, larger by a factor of 2.7 due to the smaller beam size and the luminosity enhancement due to beam-beam disruption in the ILC. </w:t>
      </w:r>
    </w:p>
    <w:p w14:paraId="5A6E2356" w14:textId="77777777" w:rsidR="00763D8D" w:rsidRDefault="00763D8D" w:rsidP="00763D8D">
      <w:pPr>
        <w:pStyle w:val="BodyTextIndent"/>
      </w:pPr>
      <w:r>
        <w:t xml:space="preserve">The luminosity per IP is the product of the bunch luminosity and the bunch repetition frequency, so the </w:t>
      </w:r>
      <w:r>
        <w:rPr>
          <w:rFonts w:eastAsiaTheme="minorEastAsia"/>
        </w:rPr>
        <w:t>l</w:t>
      </w:r>
      <w:r w:rsidRPr="0066391C">
        <w:rPr>
          <w:rFonts w:eastAsiaTheme="minorEastAsia"/>
        </w:rPr>
        <w:t>uminosity per IP = 3.48 x 10</w:t>
      </w:r>
      <w:r w:rsidRPr="0066391C">
        <w:rPr>
          <w:rFonts w:eastAsiaTheme="minorEastAsia"/>
          <w:vertAlign w:val="superscript"/>
        </w:rPr>
        <w:t>32</w:t>
      </w:r>
      <w:r w:rsidRPr="0066391C">
        <w:rPr>
          <w:rFonts w:eastAsiaTheme="minorEastAsia"/>
        </w:rPr>
        <w:t xml:space="preserve"> </w:t>
      </w:r>
      <w:r w:rsidRPr="009C73E4">
        <w:rPr>
          <w:rFonts w:ascii="Apple Chancery" w:eastAsia="+mn-ea" w:hAnsi="Apple Chancery" w:cs="Apple Chancery" w:hint="cs"/>
          <w:color w:val="000000"/>
          <w:kern w:val="24"/>
          <w:sz w:val="18"/>
          <w:szCs w:val="18"/>
        </w:rPr>
        <w:t>R</w:t>
      </w:r>
      <w:r w:rsidRPr="0066391C">
        <w:rPr>
          <w:rFonts w:eastAsiaTheme="minorEastAsia" w:hint="cs"/>
        </w:rPr>
        <w:t xml:space="preserve"> </w:t>
      </w:r>
      <w:r w:rsidRPr="0066391C">
        <w:rPr>
          <w:rFonts w:eastAsiaTheme="minorEastAsia"/>
        </w:rPr>
        <w:t>cm</w:t>
      </w:r>
      <w:r w:rsidRPr="0066391C">
        <w:rPr>
          <w:rFonts w:eastAsiaTheme="minorEastAsia"/>
          <w:vertAlign w:val="superscript"/>
        </w:rPr>
        <w:t>-2</w:t>
      </w:r>
      <w:r w:rsidRPr="0066391C">
        <w:rPr>
          <w:rFonts w:eastAsiaTheme="minorEastAsia"/>
        </w:rPr>
        <w:t>s</w:t>
      </w:r>
      <w:r w:rsidRPr="0066391C">
        <w:rPr>
          <w:rFonts w:eastAsiaTheme="minorEastAsia"/>
          <w:vertAlign w:val="superscript"/>
        </w:rPr>
        <w:t>-1</w:t>
      </w:r>
      <w:r>
        <w:t xml:space="preserve">. </w:t>
      </w:r>
    </w:p>
    <w:p w14:paraId="1A7A631D" w14:textId="77777777" w:rsidR="009C73E4" w:rsidRDefault="00763D8D" w:rsidP="009C73E4">
      <w:pPr>
        <w:pStyle w:val="BodyTextIndent"/>
      </w:pPr>
      <w:r w:rsidRPr="0066391C">
        <w:rPr>
          <w:rFonts w:eastAsiaTheme="minorEastAsia"/>
        </w:rPr>
        <w:t>There are four IPs and the luminosity is additive, not shared</w:t>
      </w:r>
      <w:r>
        <w:t>, so the f</w:t>
      </w:r>
      <w:r w:rsidRPr="0066391C">
        <w:rPr>
          <w:rFonts w:eastAsiaTheme="minorEastAsia"/>
        </w:rPr>
        <w:t xml:space="preserve">acility </w:t>
      </w:r>
      <w:r>
        <w:rPr>
          <w:rFonts w:eastAsiaTheme="minorEastAsia"/>
        </w:rPr>
        <w:t>l</w:t>
      </w:r>
      <w:r w:rsidRPr="0066391C">
        <w:rPr>
          <w:rFonts w:eastAsiaTheme="minorEastAsia"/>
        </w:rPr>
        <w:t xml:space="preserve">uminosity </w:t>
      </w:r>
      <w:r>
        <w:rPr>
          <w:rFonts w:eastAsiaTheme="minorEastAsia"/>
        </w:rPr>
        <w:t>is</w:t>
      </w:r>
      <w:r w:rsidRPr="0066391C">
        <w:rPr>
          <w:rFonts w:eastAsiaTheme="minorEastAsia"/>
        </w:rPr>
        <w:t xml:space="preserve"> 1.39</w:t>
      </w:r>
      <w:r>
        <w:rPr>
          <w:rFonts w:eastAsiaTheme="minorEastAsia"/>
        </w:rPr>
        <w:t> </w:t>
      </w:r>
      <w:r w:rsidRPr="0066391C">
        <w:rPr>
          <w:rFonts w:eastAsiaTheme="minorEastAsia"/>
        </w:rPr>
        <w:t>x</w:t>
      </w:r>
      <w:r>
        <w:rPr>
          <w:rFonts w:eastAsiaTheme="minorEastAsia"/>
        </w:rPr>
        <w:t> </w:t>
      </w:r>
      <w:r w:rsidRPr="0066391C">
        <w:rPr>
          <w:rFonts w:eastAsiaTheme="minorEastAsia"/>
        </w:rPr>
        <w:t>10</w:t>
      </w:r>
      <w:r w:rsidRPr="0066391C">
        <w:rPr>
          <w:rFonts w:eastAsiaTheme="minorEastAsia"/>
          <w:vertAlign w:val="superscript"/>
        </w:rPr>
        <w:t xml:space="preserve">33 </w:t>
      </w:r>
      <w:r w:rsidRPr="009C73E4">
        <w:rPr>
          <w:rFonts w:ascii="Apple Chancery" w:eastAsia="+mn-ea" w:hAnsi="Apple Chancery" w:cs="Apple Chancery" w:hint="cs"/>
          <w:color w:val="000000"/>
          <w:kern w:val="24"/>
          <w:sz w:val="18"/>
          <w:szCs w:val="18"/>
        </w:rPr>
        <w:t>R</w:t>
      </w:r>
      <w:r w:rsidRPr="0066391C">
        <w:rPr>
          <w:rFonts w:eastAsiaTheme="minorEastAsia"/>
        </w:rPr>
        <w:t xml:space="preserve"> cm</w:t>
      </w:r>
      <w:r w:rsidRPr="0066391C">
        <w:rPr>
          <w:rFonts w:eastAsiaTheme="minorEastAsia"/>
          <w:vertAlign w:val="superscript"/>
        </w:rPr>
        <w:t>-2</w:t>
      </w:r>
      <w:r w:rsidRPr="0066391C">
        <w:rPr>
          <w:rFonts w:eastAsiaTheme="minorEastAsia"/>
        </w:rPr>
        <w:t>s</w:t>
      </w:r>
      <w:r w:rsidRPr="0066391C">
        <w:rPr>
          <w:rFonts w:eastAsiaTheme="minorEastAsia"/>
          <w:vertAlign w:val="superscript"/>
        </w:rPr>
        <w:t>-1</w:t>
      </w:r>
      <w:r>
        <w:t xml:space="preserve">. </w:t>
      </w:r>
      <w:r w:rsidR="009C73E4">
        <w:t xml:space="preserve"> Figure 5 shows the luminosity per IP and the facility luminosity as a function of </w:t>
      </w:r>
      <w:r w:rsidR="009C73E4" w:rsidRPr="009C73E4">
        <w:rPr>
          <w:rFonts w:ascii="Apple Chancery" w:eastAsia="+mn-ea" w:hAnsi="Apple Chancery" w:cs="Apple Chancery" w:hint="cs"/>
          <w:color w:val="000000"/>
          <w:kern w:val="24"/>
          <w:sz w:val="18"/>
          <w:szCs w:val="18"/>
        </w:rPr>
        <w:t>R</w:t>
      </w:r>
      <w:r w:rsidR="009C73E4">
        <w:t xml:space="preserve">. </w:t>
      </w:r>
    </w:p>
    <w:p w14:paraId="6C030398" w14:textId="1472FDAC" w:rsidR="009C73E4" w:rsidRPr="009C73E4" w:rsidRDefault="009C73E4" w:rsidP="009C73E4">
      <w:pPr>
        <w:pStyle w:val="BodyTextIndent"/>
      </w:pPr>
      <w:r>
        <w:rPr>
          <w:rFonts w:eastAsia="+mn-ea"/>
          <w:color w:val="000000"/>
          <w:kern w:val="24"/>
        </w:rPr>
        <w:t>The l</w:t>
      </w:r>
      <w:r w:rsidRPr="00BD498E">
        <w:rPr>
          <w:rFonts w:eastAsia="+mn-ea"/>
          <w:color w:val="000000"/>
          <w:kern w:val="24"/>
        </w:rPr>
        <w:t>uminosity</w:t>
      </w:r>
      <w:r>
        <w:rPr>
          <w:rFonts w:eastAsia="+mn-ea"/>
          <w:color w:val="000000"/>
          <w:kern w:val="24"/>
        </w:rPr>
        <w:t xml:space="preserve"> per IP</w:t>
      </w:r>
      <w:r w:rsidRPr="00BD498E">
        <w:rPr>
          <w:rFonts w:eastAsia="+mn-ea"/>
          <w:color w:val="000000"/>
          <w:kern w:val="24"/>
        </w:rPr>
        <w:t xml:space="preserve"> </w:t>
      </w:r>
      <w:r>
        <w:rPr>
          <w:rFonts w:eastAsia="+mn-ea"/>
          <w:color w:val="000000"/>
          <w:kern w:val="24"/>
        </w:rPr>
        <w:t>is</w:t>
      </w:r>
      <w:r w:rsidRPr="00BD498E">
        <w:rPr>
          <w:rFonts w:eastAsia="+mn-ea"/>
          <w:color w:val="000000"/>
          <w:kern w:val="24"/>
        </w:rPr>
        <w:t xml:space="preserve"> 2.</w:t>
      </w:r>
      <w:r>
        <w:rPr>
          <w:rFonts w:eastAsia="+mn-ea"/>
          <w:color w:val="000000"/>
          <w:kern w:val="24"/>
        </w:rPr>
        <w:t>8</w:t>
      </w:r>
      <w:r w:rsidRPr="00BD498E">
        <w:rPr>
          <w:rFonts w:eastAsia="+mn-ea"/>
          <w:color w:val="000000"/>
          <w:kern w:val="24"/>
        </w:rPr>
        <w:t xml:space="preserve"> x 10</w:t>
      </w:r>
      <w:r w:rsidRPr="00BD498E">
        <w:rPr>
          <w:rFonts w:eastAsia="+mn-ea"/>
          <w:color w:val="000000"/>
          <w:kern w:val="24"/>
          <w:vertAlign w:val="superscript"/>
        </w:rPr>
        <w:t>34</w:t>
      </w:r>
      <w:r w:rsidRPr="00BD498E">
        <w:rPr>
          <w:rFonts w:eastAsia="+mn-ea"/>
          <w:color w:val="000000"/>
          <w:kern w:val="24"/>
        </w:rPr>
        <w:t xml:space="preserve"> cm</w:t>
      </w:r>
      <w:r w:rsidRPr="00BD498E">
        <w:rPr>
          <w:rFonts w:eastAsia="+mn-ea"/>
          <w:color w:val="000000"/>
          <w:kern w:val="24"/>
          <w:vertAlign w:val="superscript"/>
        </w:rPr>
        <w:t>-2</w:t>
      </w:r>
      <w:r w:rsidRPr="00BD498E">
        <w:rPr>
          <w:rFonts w:eastAsia="+mn-ea"/>
          <w:color w:val="000000"/>
          <w:kern w:val="24"/>
        </w:rPr>
        <w:t>s</w:t>
      </w:r>
      <w:r w:rsidRPr="00BD498E">
        <w:rPr>
          <w:rFonts w:eastAsia="+mn-ea"/>
          <w:color w:val="000000"/>
          <w:kern w:val="24"/>
          <w:vertAlign w:val="superscript"/>
        </w:rPr>
        <w:t xml:space="preserve">-1 </w:t>
      </w:r>
      <w:r w:rsidRPr="00BD498E">
        <w:rPr>
          <w:rFonts w:eastAsia="+mn-ea"/>
          <w:color w:val="000000"/>
          <w:kern w:val="24"/>
        </w:rPr>
        <w:t xml:space="preserve">for </w:t>
      </w:r>
      <w:r>
        <w:rPr>
          <w:rFonts w:eastAsia="+mn-ea"/>
          <w:color w:val="000000"/>
          <w:kern w:val="24"/>
        </w:rPr>
        <w:t xml:space="preserve">an </w:t>
      </w:r>
      <w:r w:rsidRPr="00BD498E">
        <w:rPr>
          <w:rFonts w:eastAsia="+mn-ea"/>
          <w:color w:val="000000"/>
          <w:kern w:val="24"/>
        </w:rPr>
        <w:t>RF power of 100 MW</w:t>
      </w:r>
      <w:r>
        <w:rPr>
          <w:rFonts w:eastAsia="+mn-ea"/>
          <w:color w:val="000000"/>
          <w:kern w:val="24"/>
        </w:rPr>
        <w:t xml:space="preserve"> at a train repetition rate of 80 trains/second. The facility l</w:t>
      </w:r>
      <w:r w:rsidRPr="00BD498E">
        <w:rPr>
          <w:rFonts w:eastAsia="+mn-ea"/>
          <w:color w:val="000000"/>
          <w:kern w:val="24"/>
        </w:rPr>
        <w:t xml:space="preserve">uminosity </w:t>
      </w:r>
      <w:r>
        <w:rPr>
          <w:rFonts w:eastAsia="+mn-ea"/>
          <w:color w:val="000000"/>
          <w:kern w:val="24"/>
        </w:rPr>
        <w:t>is</w:t>
      </w:r>
      <w:r w:rsidRPr="00BD498E">
        <w:rPr>
          <w:rFonts w:eastAsia="+mn-ea"/>
          <w:color w:val="000000"/>
          <w:kern w:val="24"/>
        </w:rPr>
        <w:t xml:space="preserve"> </w:t>
      </w:r>
      <w:r>
        <w:rPr>
          <w:rFonts w:eastAsia="+mn-ea"/>
          <w:color w:val="000000"/>
          <w:kern w:val="24"/>
        </w:rPr>
        <w:t>11.1</w:t>
      </w:r>
      <w:r w:rsidRPr="00BD498E">
        <w:rPr>
          <w:rFonts w:eastAsia="+mn-ea"/>
          <w:color w:val="000000"/>
          <w:kern w:val="24"/>
        </w:rPr>
        <w:t xml:space="preserve"> x 10</w:t>
      </w:r>
      <w:r w:rsidRPr="00BD498E">
        <w:rPr>
          <w:rFonts w:eastAsia="+mn-ea"/>
          <w:color w:val="000000"/>
          <w:kern w:val="24"/>
          <w:vertAlign w:val="superscript"/>
        </w:rPr>
        <w:t>34</w:t>
      </w:r>
      <w:r w:rsidRPr="00BD498E">
        <w:rPr>
          <w:rFonts w:eastAsia="+mn-ea"/>
          <w:color w:val="000000"/>
          <w:kern w:val="24"/>
        </w:rPr>
        <w:t xml:space="preserve"> cm</w:t>
      </w:r>
      <w:r w:rsidRPr="00BD498E">
        <w:rPr>
          <w:rFonts w:eastAsia="+mn-ea"/>
          <w:color w:val="000000"/>
          <w:kern w:val="24"/>
          <w:vertAlign w:val="superscript"/>
        </w:rPr>
        <w:t>-2</w:t>
      </w:r>
      <w:r w:rsidRPr="00BD498E">
        <w:rPr>
          <w:rFonts w:eastAsia="+mn-ea"/>
          <w:color w:val="000000"/>
          <w:kern w:val="24"/>
        </w:rPr>
        <w:t>s</w:t>
      </w:r>
      <w:r w:rsidRPr="00BD498E">
        <w:rPr>
          <w:rFonts w:eastAsia="+mn-ea"/>
          <w:color w:val="000000"/>
          <w:kern w:val="24"/>
          <w:vertAlign w:val="superscript"/>
        </w:rPr>
        <w:t>-1</w:t>
      </w:r>
      <w:r w:rsidRPr="00BD498E">
        <w:rPr>
          <w:rFonts w:eastAsia="+mn-ea"/>
          <w:color w:val="000000"/>
          <w:kern w:val="24"/>
        </w:rPr>
        <w:t xml:space="preserve"> for </w:t>
      </w:r>
      <w:r>
        <w:rPr>
          <w:rFonts w:eastAsia="+mn-ea"/>
          <w:color w:val="000000"/>
          <w:kern w:val="24"/>
        </w:rPr>
        <w:t xml:space="preserve">an </w:t>
      </w:r>
      <w:r w:rsidRPr="00BD498E">
        <w:rPr>
          <w:rFonts w:eastAsia="+mn-ea"/>
          <w:color w:val="000000"/>
          <w:kern w:val="24"/>
        </w:rPr>
        <w:t>RF power of 100 MW</w:t>
      </w:r>
      <w:r>
        <w:rPr>
          <w:rFonts w:eastAsia="+mn-ea"/>
          <w:color w:val="000000"/>
          <w:kern w:val="24"/>
        </w:rPr>
        <w:t xml:space="preserve">. </w:t>
      </w:r>
    </w:p>
    <w:p w14:paraId="4F869FE3" w14:textId="7CD73172" w:rsidR="008D3A85" w:rsidRPr="00913F92" w:rsidRDefault="008D3A85" w:rsidP="008D3A85">
      <w:pPr>
        <w:pStyle w:val="JACoWSubsectionHeading"/>
      </w:pPr>
      <w:r w:rsidRPr="00913F92">
        <w:t>Conclusion</w:t>
      </w:r>
      <w:r>
        <w:t>s</w:t>
      </w:r>
    </w:p>
    <w:p w14:paraId="7AB0A87E" w14:textId="41DF127B" w:rsidR="008D3A85" w:rsidRPr="00913F92" w:rsidRDefault="008D3A85" w:rsidP="008D3A85">
      <w:pPr>
        <w:pStyle w:val="BodyTextIndent"/>
      </w:pPr>
      <w:r w:rsidRPr="00913F92">
        <w:t>The Ghost Collider is a viable Higgs Factory, meeting the requirements of the Linear Collider vision statement</w:t>
      </w:r>
      <w:r>
        <w:t xml:space="preserve">. </w:t>
      </w:r>
    </w:p>
    <w:p w14:paraId="60748C62" w14:textId="10976A3E" w:rsidR="004144EC" w:rsidRDefault="008D3A85" w:rsidP="004144EC">
      <w:pPr>
        <w:pStyle w:val="BodyTextIndent"/>
      </w:pPr>
      <w:r w:rsidRPr="00913F92">
        <w:t>Neutral bunches of electrons and positrons travel together in the same Linac buckets</w:t>
      </w:r>
      <w:r>
        <w:t xml:space="preserve"> with n</w:t>
      </w:r>
      <w:r w:rsidRPr="00913F92">
        <w:t>o excitation of higher modes (HOMs)</w:t>
      </w:r>
      <w:r>
        <w:t xml:space="preserve"> or</w:t>
      </w:r>
      <w:r w:rsidRPr="00913F92">
        <w:t xml:space="preserve"> Multi-bunch Beam Break-Up (MBBU</w:t>
      </w:r>
      <w:r w:rsidR="00EC1781">
        <w:t>)</w:t>
      </w:r>
      <w:r w:rsidR="004144EC">
        <w:t xml:space="preserve">. </w:t>
      </w:r>
    </w:p>
    <w:p w14:paraId="70615894" w14:textId="2F54E2E2" w:rsidR="004144EC" w:rsidRDefault="004144EC" w:rsidP="004144EC">
      <w:pPr>
        <w:pStyle w:val="BodyTextIndent"/>
      </w:pPr>
      <w:r w:rsidRPr="00913F92">
        <w:t>There is a single, bidirectional linac, half the length of the ILC on either side of the IR region</w:t>
      </w:r>
      <w:r>
        <w:t xml:space="preserve">. </w:t>
      </w:r>
      <w:r w:rsidRPr="00913F92">
        <w:t>with pulsed RF</w:t>
      </w:r>
      <w:r>
        <w:t>.</w:t>
      </w:r>
    </w:p>
    <w:p w14:paraId="226083D1" w14:textId="0D2C3F4F" w:rsidR="004144EC" w:rsidRDefault="004144EC" w:rsidP="004144EC">
      <w:pPr>
        <w:pStyle w:val="BodyTextIndent"/>
      </w:pPr>
      <w:r w:rsidRPr="00913F92">
        <w:t>The arcs are a new shape, reducing synchrotron radiation by 35.8%</w:t>
      </w:r>
      <w:r>
        <w:t xml:space="preserve">. </w:t>
      </w:r>
      <w:r w:rsidRPr="00913F92">
        <w:t>Two or four interaction points</w:t>
      </w:r>
      <w:r>
        <w:t xml:space="preserve"> are possible, all</w:t>
      </w:r>
      <w:r w:rsidRPr="00913F92">
        <w:t xml:space="preserve"> with the nominal luminosity </w:t>
      </w:r>
      <w:r>
        <w:t xml:space="preserve">per IP of </w:t>
      </w:r>
      <w:r w:rsidRPr="00913F92">
        <w:t>2.</w:t>
      </w:r>
      <w:r>
        <w:t>8 </w:t>
      </w:r>
      <w:r w:rsidRPr="00913F92">
        <w:t>x</w:t>
      </w:r>
      <w:r>
        <w:t> </w:t>
      </w:r>
      <w:r w:rsidRPr="00913F92">
        <w:t>10</w:t>
      </w:r>
      <w:r w:rsidRPr="00913F92">
        <w:rPr>
          <w:vertAlign w:val="superscript"/>
        </w:rPr>
        <w:t xml:space="preserve">34 </w:t>
      </w:r>
      <w:r w:rsidRPr="00913F92">
        <w:t>cm</w:t>
      </w:r>
      <w:r w:rsidRPr="00913F92">
        <w:rPr>
          <w:vertAlign w:val="superscript"/>
        </w:rPr>
        <w:t>-2</w:t>
      </w:r>
      <w:r w:rsidRPr="00913F92">
        <w:t>s</w:t>
      </w:r>
      <w:r w:rsidRPr="00913F92">
        <w:rPr>
          <w:vertAlign w:val="superscript"/>
        </w:rPr>
        <w:t xml:space="preserve">-1 </w:t>
      </w:r>
      <w:r w:rsidRPr="00913F92">
        <w:t xml:space="preserve">@ 100 MW electrical power for </w:t>
      </w:r>
      <w:r>
        <w:t xml:space="preserve">the </w:t>
      </w:r>
      <w:r w:rsidRPr="00913F92">
        <w:t>RF</w:t>
      </w:r>
      <w:r>
        <w:t xml:space="preserve"> systems. The f</w:t>
      </w:r>
      <w:r w:rsidRPr="00913F92">
        <w:t xml:space="preserve">acility </w:t>
      </w:r>
      <w:r>
        <w:t>l</w:t>
      </w:r>
      <w:r w:rsidRPr="00913F92">
        <w:t xml:space="preserve">uminosity </w:t>
      </w:r>
      <w:r>
        <w:t>is</w:t>
      </w:r>
      <w:r w:rsidRPr="00913F92">
        <w:t xml:space="preserve"> </w:t>
      </w:r>
      <w:r>
        <w:t>1.1</w:t>
      </w:r>
      <w:r w:rsidRPr="00913F92">
        <w:t xml:space="preserve"> x10</w:t>
      </w:r>
      <w:r w:rsidRPr="00913F92">
        <w:rPr>
          <w:vertAlign w:val="superscript"/>
        </w:rPr>
        <w:t>3</w:t>
      </w:r>
      <w:r>
        <w:rPr>
          <w:vertAlign w:val="superscript"/>
        </w:rPr>
        <w:t>5</w:t>
      </w:r>
      <w:r w:rsidRPr="00913F92">
        <w:t xml:space="preserve"> cm</w:t>
      </w:r>
      <w:r w:rsidRPr="00913F92">
        <w:rPr>
          <w:vertAlign w:val="superscript"/>
        </w:rPr>
        <w:t>-2</w:t>
      </w:r>
      <w:r w:rsidRPr="00913F92">
        <w:t>s</w:t>
      </w:r>
      <w:r w:rsidRPr="00913F92">
        <w:rPr>
          <w:vertAlign w:val="superscript"/>
        </w:rPr>
        <w:t>-1</w:t>
      </w:r>
      <w:r>
        <w:t xml:space="preserve">, also for 100 MW RF power. </w:t>
      </w:r>
    </w:p>
    <w:p w14:paraId="3F3D3709" w14:textId="6DD1BD85" w:rsidR="004144EC" w:rsidRDefault="004144EC" w:rsidP="004144EC">
      <w:pPr>
        <w:pStyle w:val="BodyTextIndent"/>
      </w:pPr>
      <w:r w:rsidRPr="00913F92">
        <w:t>Proof of principle solutions have been worked out for all the major components</w:t>
      </w:r>
      <w:r>
        <w:t>, but d</w:t>
      </w:r>
      <w:r w:rsidRPr="00913F92">
        <w:t>etailed optimization is required to validate the design</w:t>
      </w:r>
      <w:r>
        <w:t xml:space="preserve">. </w:t>
      </w:r>
    </w:p>
    <w:p w14:paraId="31971EE8" w14:textId="77777777" w:rsidR="004144EC" w:rsidRPr="00E15FEC" w:rsidRDefault="004144EC" w:rsidP="004144EC">
      <w:pPr>
        <w:pStyle w:val="Heading3"/>
      </w:pPr>
      <w:r w:rsidRPr="00E15FEC">
        <w:t>Acknowledgements</w:t>
      </w:r>
    </w:p>
    <w:p w14:paraId="0D896AA6" w14:textId="77777777" w:rsidR="004144EC" w:rsidRPr="004144EC" w:rsidRDefault="004144EC" w:rsidP="004144EC">
      <w:pPr>
        <w:pStyle w:val="BodyTextIndent"/>
      </w:pPr>
      <w:r w:rsidRPr="004144EC">
        <w:t xml:space="preserve">The authors would like to thank Todd Satogata and Balša Terzić for their support and helpful insights. </w:t>
      </w:r>
    </w:p>
    <w:p w14:paraId="659CD2F3" w14:textId="77777777" w:rsidR="004144EC" w:rsidRPr="005C6A89" w:rsidRDefault="004144EC" w:rsidP="008D3A85">
      <w:pPr>
        <w:pStyle w:val="BodyTextIndent"/>
        <w:rPr>
          <w:rFonts w:eastAsiaTheme="minorHAnsi"/>
        </w:rPr>
      </w:pPr>
    </w:p>
    <w:p w14:paraId="1AB5817A" w14:textId="1D6CC785" w:rsidR="00EF634D" w:rsidRDefault="00EF634D" w:rsidP="000C0A7E">
      <w:pPr>
        <w:pStyle w:val="Heading3"/>
      </w:pPr>
      <w:r>
        <w:br w:type="page"/>
      </w:r>
      <w:r w:rsidR="000C0A7E">
        <w:lastRenderedPageBreak/>
        <w:t>References</w:t>
      </w:r>
    </w:p>
    <w:p w14:paraId="79DABCF9" w14:textId="42D565B0" w:rsidR="000C0A7E" w:rsidRPr="00FA3D78" w:rsidRDefault="000C0A7E" w:rsidP="00D532DB">
      <w:pPr>
        <w:pStyle w:val="JACoWReference1-9when10Refs"/>
        <w:numPr>
          <w:ilvl w:val="0"/>
          <w:numId w:val="36"/>
        </w:numPr>
        <w:spacing w:line="240" w:lineRule="auto"/>
        <w:ind w:left="386" w:hanging="295"/>
        <w:rPr>
          <w:noProof/>
          <w:lang w:val="en-US"/>
        </w:rPr>
      </w:pPr>
      <w:r w:rsidRPr="00FA3D78">
        <w:rPr>
          <w:noProof/>
          <w:lang w:val="en-US"/>
        </w:rPr>
        <w:t xml:space="preserve">V. Telnov, </w:t>
      </w:r>
      <w:r w:rsidR="001F0C48">
        <w:rPr>
          <w:noProof/>
          <w:lang w:val="en-US"/>
        </w:rPr>
        <w:t>“</w:t>
      </w:r>
      <w:r w:rsidR="00295768">
        <w:rPr>
          <w:noProof/>
          <w:lang w:val="en-US"/>
        </w:rPr>
        <w:t>A high-luminosity superconducting twin e</w:t>
      </w:r>
      <w:r w:rsidR="00295768">
        <w:rPr>
          <w:noProof/>
          <w:vertAlign w:val="superscript"/>
          <w:lang w:val="en-US"/>
        </w:rPr>
        <w:t>=</w:t>
      </w:r>
      <w:r w:rsidR="00295768">
        <w:rPr>
          <w:noProof/>
          <w:lang w:val="en-US"/>
        </w:rPr>
        <w:t>e</w:t>
      </w:r>
      <w:r w:rsidR="00295768">
        <w:rPr>
          <w:noProof/>
          <w:vertAlign w:val="superscript"/>
          <w:lang w:val="en-US"/>
        </w:rPr>
        <w:t>-</w:t>
      </w:r>
      <w:r w:rsidR="00295768">
        <w:rPr>
          <w:noProof/>
          <w:lang w:val="en-US"/>
        </w:rPr>
        <w:t xml:space="preserve"> linear </w:t>
      </w:r>
      <w:r w:rsidR="006C2142">
        <w:rPr>
          <w:noProof/>
          <w:lang w:val="en-US"/>
        </w:rPr>
        <w:t>collider with energy recovery</w:t>
      </w:r>
      <w:r w:rsidR="001F0C48">
        <w:rPr>
          <w:noProof/>
          <w:lang w:val="en-US"/>
        </w:rPr>
        <w:t>”,</w:t>
      </w:r>
      <w:r w:rsidRPr="00FA3D78">
        <w:rPr>
          <w:noProof/>
          <w:lang w:val="en-US"/>
        </w:rPr>
        <w:t xml:space="preserve"> </w:t>
      </w:r>
      <w:r w:rsidRPr="00FA3D78">
        <w:rPr>
          <w:i/>
          <w:iCs/>
          <w:noProof/>
          <w:lang w:val="en-US"/>
        </w:rPr>
        <w:t>J</w:t>
      </w:r>
      <w:r w:rsidR="001F0C48">
        <w:rPr>
          <w:i/>
          <w:iCs/>
          <w:noProof/>
          <w:lang w:val="en-US"/>
        </w:rPr>
        <w:t>. Instrum.</w:t>
      </w:r>
      <w:r w:rsidR="001F0C48">
        <w:rPr>
          <w:noProof/>
          <w:lang w:val="en-US"/>
        </w:rPr>
        <w:t>, vol.</w:t>
      </w:r>
      <w:r w:rsidRPr="001F0C48">
        <w:rPr>
          <w:noProof/>
          <w:lang w:val="en-US"/>
        </w:rPr>
        <w:t xml:space="preserve"> 16</w:t>
      </w:r>
      <w:r w:rsidR="001F0C48">
        <w:rPr>
          <w:noProof/>
          <w:lang w:val="en-US"/>
        </w:rPr>
        <w:t xml:space="preserve">, p. 12025, </w:t>
      </w:r>
      <w:r w:rsidR="00295768">
        <w:rPr>
          <w:noProof/>
          <w:lang w:val="en-US"/>
        </w:rPr>
        <w:t xml:space="preserve">Dec. </w:t>
      </w:r>
      <w:r w:rsidR="001F0C48">
        <w:rPr>
          <w:noProof/>
          <w:lang w:val="en-US"/>
        </w:rPr>
        <w:t>2021.</w:t>
      </w:r>
      <w:r w:rsidRPr="00FA3D78">
        <w:rPr>
          <w:noProof/>
          <w:lang w:val="en-US"/>
        </w:rPr>
        <w:t xml:space="preserve"> </w:t>
      </w:r>
      <w:hyperlink r:id="rId18" w:history="1">
        <w:r w:rsidR="006C2142" w:rsidRPr="006C2142">
          <w:rPr>
            <w:rStyle w:val="Hyperlink"/>
            <w:rFonts w:cs="Consolas"/>
            <w:noProof/>
            <w:szCs w:val="16"/>
            <w:lang w:val="en-US"/>
          </w:rPr>
          <w:t>doi:10.1088/1748-0221/16/12/P125025</w:t>
        </w:r>
      </w:hyperlink>
    </w:p>
    <w:p w14:paraId="34FB53AE" w14:textId="293EAA71" w:rsidR="000C0A7E" w:rsidRPr="001F5F92" w:rsidRDefault="000C0A7E" w:rsidP="001F5F92">
      <w:pPr>
        <w:pStyle w:val="JACoWReference1-9when10Refs"/>
        <w:numPr>
          <w:ilvl w:val="0"/>
          <w:numId w:val="36"/>
        </w:numPr>
        <w:spacing w:line="240" w:lineRule="auto"/>
        <w:ind w:left="386" w:hanging="295"/>
      </w:pPr>
      <w:r w:rsidRPr="006D2065">
        <w:rPr>
          <w:rFonts w:cs="Times New Roman"/>
          <w:noProof/>
          <w:lang w:val="en-US"/>
        </w:rPr>
        <w:t xml:space="preserve">E. Jensen, </w:t>
      </w:r>
      <w:r w:rsidR="001F5F92">
        <w:rPr>
          <w:rFonts w:cs="Times New Roman"/>
          <w:noProof/>
          <w:lang w:val="en-US"/>
        </w:rPr>
        <w:t>“</w:t>
      </w:r>
      <w:r w:rsidRPr="006D2065">
        <w:rPr>
          <w:rFonts w:cs="Times New Roman"/>
          <w:noProof/>
          <w:lang w:val="en-US"/>
        </w:rPr>
        <w:t>Energy Recovery &amp; Sustainability</w:t>
      </w:r>
      <w:r w:rsidR="001F5F92">
        <w:rPr>
          <w:rFonts w:cs="Times New Roman"/>
          <w:noProof/>
          <w:lang w:val="en-US"/>
        </w:rPr>
        <w:t>”,</w:t>
      </w:r>
      <w:r w:rsidRPr="006D2065">
        <w:rPr>
          <w:rFonts w:cs="Times New Roman"/>
          <w:noProof/>
          <w:lang w:val="en-US"/>
        </w:rPr>
        <w:t xml:space="preserve"> </w:t>
      </w:r>
      <w:r w:rsidR="001F5F92">
        <w:rPr>
          <w:rFonts w:cs="Times New Roman"/>
          <w:noProof/>
          <w:lang w:val="en-US"/>
        </w:rPr>
        <w:t xml:space="preserve">presented at Symposium on Energy Recovery Linacs, </w:t>
      </w:r>
      <w:r w:rsidRPr="006D2065">
        <w:rPr>
          <w:rFonts w:cs="Times New Roman"/>
          <w:noProof/>
          <w:lang w:val="en-US"/>
        </w:rPr>
        <w:t>June 2021.</w:t>
      </w:r>
      <w:r w:rsidR="001F5F92">
        <w:rPr>
          <w:rFonts w:cs="Times New Roman"/>
          <w:noProof/>
          <w:lang w:val="en-US"/>
        </w:rPr>
        <w:br/>
      </w:r>
      <w:hyperlink r:id="rId19" w:history="1">
        <w:r w:rsidRPr="009E2002">
          <w:rPr>
            <w:rStyle w:val="Hyperlink"/>
            <w:rFonts w:cs="Times New Roman"/>
            <w:noProof/>
            <w:szCs w:val="16"/>
          </w:rPr>
          <w:t>https://indico.cern.ch/event/1040671/contributions/4371231/attachments/2258316/3834416/Energy%20Recovery%20&amp;%20Sustainability.pdf</w:t>
        </w:r>
      </w:hyperlink>
    </w:p>
    <w:p w14:paraId="328BC1BC" w14:textId="1CE94656" w:rsidR="00882414" w:rsidRPr="00FA3D78" w:rsidRDefault="00C45B42" w:rsidP="00D532DB">
      <w:pPr>
        <w:pStyle w:val="JACoWReference1-9when10Refs"/>
        <w:numPr>
          <w:ilvl w:val="0"/>
          <w:numId w:val="36"/>
        </w:numPr>
        <w:spacing w:line="240" w:lineRule="auto"/>
        <w:ind w:left="386" w:hanging="295"/>
      </w:pPr>
      <w:r w:rsidRPr="00FA3D78">
        <w:t xml:space="preserve">P. Williams, </w:t>
      </w:r>
      <w:r w:rsidR="001F5F92">
        <w:rPr>
          <w:i/>
          <w:iCs/>
        </w:rPr>
        <w:t>et al.</w:t>
      </w:r>
      <w:r w:rsidRPr="00FA3D78">
        <w:t>, “</w:t>
      </w:r>
      <w:r w:rsidR="001F5F92">
        <w:t xml:space="preserve">The Linear Ghost Collider: </w:t>
      </w:r>
      <w:r w:rsidRPr="00FA3D78">
        <w:t>An Efficient Higgs Factory”</w:t>
      </w:r>
      <w:r w:rsidR="001F5F92">
        <w:t>,</w:t>
      </w:r>
      <w:r w:rsidRPr="00FA3D78">
        <w:t xml:space="preserve"> </w:t>
      </w:r>
      <w:r w:rsidR="001F5F92">
        <w:t>presented at IPAC’26, Deauville, France, May 2026, paper MOP1022, this conference.</w:t>
      </w:r>
    </w:p>
    <w:p w14:paraId="2F973495" w14:textId="5C5C4290" w:rsidR="00882414" w:rsidRPr="00FA3D78" w:rsidRDefault="00882414" w:rsidP="00D532DB">
      <w:pPr>
        <w:pStyle w:val="JACoWReference1-9when10Refs"/>
        <w:numPr>
          <w:ilvl w:val="0"/>
          <w:numId w:val="36"/>
        </w:numPr>
        <w:spacing w:line="240" w:lineRule="auto"/>
        <w:ind w:left="386" w:hanging="295"/>
      </w:pPr>
      <w:r w:rsidRPr="00FA3D78">
        <w:rPr>
          <w:noProof/>
          <w:lang w:val="en-US"/>
        </w:rPr>
        <w:t>T</w:t>
      </w:r>
      <w:r w:rsidR="001F5F92">
        <w:rPr>
          <w:noProof/>
          <w:lang w:val="en-US"/>
        </w:rPr>
        <w:t>he Orsay Storage Ring</w:t>
      </w:r>
      <w:r w:rsidRPr="00FA3D78">
        <w:rPr>
          <w:noProof/>
          <w:lang w:val="en-US"/>
        </w:rPr>
        <w:t xml:space="preserve"> Group, </w:t>
      </w:r>
      <w:r w:rsidR="001F5F92">
        <w:rPr>
          <w:noProof/>
          <w:lang w:val="en-US"/>
        </w:rPr>
        <w:t>“</w:t>
      </w:r>
      <w:r w:rsidRPr="00FA3D78">
        <w:rPr>
          <w:noProof/>
          <w:lang w:val="en-US"/>
        </w:rPr>
        <w:t>Status Report on D.C.I</w:t>
      </w:r>
      <w:r w:rsidR="001F5F92">
        <w:rPr>
          <w:noProof/>
          <w:lang w:val="en-US"/>
        </w:rPr>
        <w:t>.”,</w:t>
      </w:r>
      <w:r w:rsidRPr="00FA3D78">
        <w:rPr>
          <w:noProof/>
          <w:lang w:val="en-US"/>
        </w:rPr>
        <w:t xml:space="preserve"> </w:t>
      </w:r>
      <w:r w:rsidRPr="00FA3D78">
        <w:rPr>
          <w:i/>
          <w:iCs/>
          <w:noProof/>
          <w:lang w:val="en-US"/>
        </w:rPr>
        <w:t>IEEE Trans</w:t>
      </w:r>
      <w:r w:rsidR="001F5F92">
        <w:rPr>
          <w:i/>
          <w:iCs/>
          <w:noProof/>
          <w:lang w:val="en-US"/>
        </w:rPr>
        <w:t>.</w:t>
      </w:r>
      <w:r w:rsidRPr="00FA3D78">
        <w:rPr>
          <w:i/>
          <w:iCs/>
          <w:noProof/>
          <w:lang w:val="en-US"/>
        </w:rPr>
        <w:t xml:space="preserve"> Nucl</w:t>
      </w:r>
      <w:r w:rsidR="001F5F92">
        <w:rPr>
          <w:i/>
          <w:iCs/>
          <w:noProof/>
          <w:lang w:val="en-US"/>
        </w:rPr>
        <w:t>.</w:t>
      </w:r>
      <w:r w:rsidRPr="00FA3D78">
        <w:rPr>
          <w:i/>
          <w:iCs/>
          <w:noProof/>
          <w:lang w:val="en-US"/>
        </w:rPr>
        <w:t xml:space="preserve"> Sci</w:t>
      </w:r>
      <w:r w:rsidR="001F5F92">
        <w:rPr>
          <w:i/>
          <w:iCs/>
          <w:noProof/>
          <w:lang w:val="en-US"/>
        </w:rPr>
        <w:t>.</w:t>
      </w:r>
      <w:r w:rsidRPr="001F5F92">
        <w:rPr>
          <w:noProof/>
          <w:lang w:val="en-US"/>
        </w:rPr>
        <w:t>,</w:t>
      </w:r>
      <w:r w:rsidRPr="00FA3D78">
        <w:rPr>
          <w:i/>
          <w:iCs/>
          <w:noProof/>
          <w:lang w:val="en-US"/>
        </w:rPr>
        <w:t xml:space="preserve"> </w:t>
      </w:r>
      <w:r w:rsidR="001F5F92">
        <w:rPr>
          <w:noProof/>
          <w:lang w:val="en-US"/>
        </w:rPr>
        <w:t>vol</w:t>
      </w:r>
      <w:r w:rsidRPr="00FA3D78">
        <w:rPr>
          <w:noProof/>
          <w:lang w:val="en-US"/>
        </w:rPr>
        <w:t>.</w:t>
      </w:r>
      <w:r w:rsidR="001F5F92">
        <w:rPr>
          <w:noProof/>
          <w:lang w:val="en-US"/>
        </w:rPr>
        <w:t xml:space="preserve"> 26, no. 3, pp. 3559-3561, June</w:t>
      </w:r>
      <w:r w:rsidR="00B03D46">
        <w:rPr>
          <w:noProof/>
          <w:lang w:val="en-US"/>
        </w:rPr>
        <w:t> </w:t>
      </w:r>
      <w:r w:rsidR="001F5F92">
        <w:rPr>
          <w:noProof/>
          <w:lang w:val="en-US"/>
        </w:rPr>
        <w:t>1979.</w:t>
      </w:r>
      <w:r w:rsidRPr="00FA3D78">
        <w:rPr>
          <w:noProof/>
          <w:lang w:val="en-US"/>
        </w:rPr>
        <w:t xml:space="preserve"> </w:t>
      </w:r>
      <w:hyperlink r:id="rId20" w:history="1">
        <w:r w:rsidR="001F5F92" w:rsidRPr="00AA43E7">
          <w:rPr>
            <w:rStyle w:val="Hyperlink"/>
            <w:rFonts w:cs="Consolas"/>
            <w:noProof/>
            <w:szCs w:val="16"/>
            <w:lang w:val="en-US"/>
          </w:rPr>
          <w:t>doi:10.1109/TNS.1979.4330099</w:t>
        </w:r>
      </w:hyperlink>
    </w:p>
    <w:p w14:paraId="17625973" w14:textId="73AE7A56" w:rsidR="009A7D98" w:rsidRPr="00FA3D78" w:rsidRDefault="00AA43E7" w:rsidP="00D532DB">
      <w:pPr>
        <w:pStyle w:val="JACoWReference1-9when10Refs"/>
        <w:numPr>
          <w:ilvl w:val="0"/>
          <w:numId w:val="36"/>
        </w:numPr>
        <w:spacing w:line="240" w:lineRule="auto"/>
        <w:ind w:left="386" w:hanging="295"/>
      </w:pPr>
      <w:r>
        <w:rPr>
          <w:rFonts w:cs="Times New Roman"/>
          <w:noProof/>
          <w:lang w:val="en-US"/>
        </w:rPr>
        <w:t>V. E. Balakin and N. A.</w:t>
      </w:r>
      <w:r w:rsidR="009A7D98" w:rsidRPr="006D2065">
        <w:rPr>
          <w:rFonts w:cs="Times New Roman"/>
          <w:noProof/>
          <w:lang w:val="en-US"/>
        </w:rPr>
        <w:t xml:space="preserve"> Solyak, </w:t>
      </w:r>
      <w:r w:rsidR="00D033CA">
        <w:rPr>
          <w:rFonts w:cs="Times New Roman"/>
          <w:noProof/>
          <w:lang w:val="en-US"/>
        </w:rPr>
        <w:t>“</w:t>
      </w:r>
      <w:r w:rsidR="009A7D98" w:rsidRPr="006D2065">
        <w:rPr>
          <w:rFonts w:cs="Times New Roman"/>
          <w:noProof/>
          <w:lang w:val="en-US"/>
        </w:rPr>
        <w:t>VLEPP</w:t>
      </w:r>
      <w:r>
        <w:rPr>
          <w:rFonts w:cs="Times New Roman"/>
          <w:noProof/>
          <w:lang w:val="en-US"/>
        </w:rPr>
        <w:t>:</w:t>
      </w:r>
      <w:r w:rsidR="009A7D98" w:rsidRPr="006D2065">
        <w:rPr>
          <w:rFonts w:cs="Times New Roman"/>
          <w:noProof/>
          <w:lang w:val="en-US"/>
        </w:rPr>
        <w:t xml:space="preserve"> Beam-Beam Effects,</w:t>
      </w:r>
      <w:r w:rsidR="00D033CA">
        <w:rPr>
          <w:rFonts w:cs="Times New Roman"/>
          <w:noProof/>
          <w:lang w:val="en-US"/>
        </w:rPr>
        <w:t>”</w:t>
      </w:r>
      <w:r w:rsidR="009A7D98" w:rsidRPr="006D2065">
        <w:rPr>
          <w:rFonts w:cs="Times New Roman"/>
          <w:noProof/>
          <w:lang w:val="en-US"/>
        </w:rPr>
        <w:t xml:space="preserve"> </w:t>
      </w:r>
      <w:r>
        <w:rPr>
          <w:rFonts w:cs="Times New Roman"/>
          <w:noProof/>
          <w:lang w:val="en-US"/>
        </w:rPr>
        <w:t>SLAC</w:t>
      </w:r>
      <w:r w:rsidR="00BC5D4F">
        <w:rPr>
          <w:rFonts w:cs="Times New Roman"/>
          <w:noProof/>
          <w:lang w:val="en-US"/>
        </w:rPr>
        <w:t xml:space="preserve"> National Accelerator Laboratory</w:t>
      </w:r>
      <w:r>
        <w:rPr>
          <w:rFonts w:cs="Times New Roman"/>
          <w:noProof/>
          <w:lang w:val="en-US"/>
        </w:rPr>
        <w:t xml:space="preserve">, </w:t>
      </w:r>
      <w:r w:rsidR="00BC5D4F">
        <w:rPr>
          <w:rFonts w:cs="Times New Roman"/>
          <w:noProof/>
          <w:lang w:val="en-US"/>
        </w:rPr>
        <w:t>Menlo Park</w:t>
      </w:r>
      <w:r>
        <w:rPr>
          <w:rFonts w:cs="Times New Roman"/>
          <w:noProof/>
          <w:lang w:val="en-US"/>
        </w:rPr>
        <w:t>,</w:t>
      </w:r>
      <w:r w:rsidR="00BC5D4F">
        <w:rPr>
          <w:rFonts w:cs="Times New Roman"/>
          <w:noProof/>
          <w:lang w:val="en-US"/>
        </w:rPr>
        <w:t xml:space="preserve"> CA,</w:t>
      </w:r>
      <w:r>
        <w:rPr>
          <w:rFonts w:cs="Times New Roman"/>
          <w:noProof/>
          <w:lang w:val="en-US"/>
        </w:rPr>
        <w:t xml:space="preserve"> USA, Rep. </w:t>
      </w:r>
      <w:r w:rsidR="009A7D98" w:rsidRPr="006D2065">
        <w:rPr>
          <w:rFonts w:cs="Times New Roman"/>
          <w:noProof/>
          <w:lang w:val="en-US"/>
        </w:rPr>
        <w:t>SLAC</w:t>
      </w:r>
      <w:r w:rsidR="00BC5D4F">
        <w:rPr>
          <w:rFonts w:cs="Times New Roman"/>
          <w:noProof/>
          <w:lang w:val="en-US"/>
        </w:rPr>
        <w:t>-</w:t>
      </w:r>
      <w:r w:rsidR="009A7D98" w:rsidRPr="006D2065">
        <w:rPr>
          <w:rFonts w:cs="Times New Roman"/>
          <w:noProof/>
          <w:lang w:val="en-US"/>
        </w:rPr>
        <w:t>TRANS</w:t>
      </w:r>
      <w:r w:rsidR="00BC5D4F">
        <w:rPr>
          <w:rFonts w:cs="Times New Roman"/>
          <w:noProof/>
          <w:lang w:val="en-US"/>
        </w:rPr>
        <w:t>-</w:t>
      </w:r>
      <w:r w:rsidR="009A7D98" w:rsidRPr="006D2065">
        <w:rPr>
          <w:rFonts w:cs="Times New Roman"/>
          <w:noProof/>
          <w:lang w:val="en-US"/>
        </w:rPr>
        <w:t xml:space="preserve">0226, </w:t>
      </w:r>
      <w:r w:rsidR="00BC5D4F">
        <w:rPr>
          <w:rFonts w:cs="Times New Roman"/>
          <w:noProof/>
          <w:lang w:val="en-US"/>
        </w:rPr>
        <w:t xml:space="preserve">Aug. </w:t>
      </w:r>
      <w:r w:rsidR="009A7D98" w:rsidRPr="006D2065">
        <w:rPr>
          <w:rFonts w:cs="Times New Roman"/>
          <w:noProof/>
          <w:lang w:val="en-US"/>
        </w:rPr>
        <w:t>1986.</w:t>
      </w:r>
      <w:r w:rsidR="009A7D98" w:rsidRPr="00FA3D78">
        <w:rPr>
          <w:rFonts w:cs="Times New Roman"/>
          <w:noProof/>
          <w:lang w:val="en-US"/>
        </w:rPr>
        <w:t xml:space="preserve"> </w:t>
      </w:r>
    </w:p>
    <w:p w14:paraId="15EAFC99" w14:textId="30BE4666" w:rsidR="009A7D98" w:rsidRPr="00FA3D78" w:rsidRDefault="009A7D98" w:rsidP="00D532DB">
      <w:pPr>
        <w:pStyle w:val="JACoWReference1-9when10Refs"/>
        <w:numPr>
          <w:ilvl w:val="0"/>
          <w:numId w:val="36"/>
        </w:numPr>
        <w:spacing w:line="240" w:lineRule="auto"/>
        <w:ind w:left="386" w:hanging="295"/>
      </w:pPr>
      <w:r w:rsidRPr="006D2065">
        <w:rPr>
          <w:rFonts w:cs="Times New Roman"/>
          <w:noProof/>
          <w:lang w:val="en-US"/>
        </w:rPr>
        <w:t>D. H. W</w:t>
      </w:r>
      <w:r w:rsidR="00F36025">
        <w:rPr>
          <w:rFonts w:cs="Times New Roman"/>
          <w:noProof/>
          <w:lang w:val="en-US"/>
        </w:rPr>
        <w:t>hittum and</w:t>
      </w:r>
      <w:r w:rsidRPr="006D2065">
        <w:rPr>
          <w:rFonts w:cs="Times New Roman"/>
          <w:noProof/>
          <w:lang w:val="en-US"/>
        </w:rPr>
        <w:t xml:space="preserve"> R. H. Siemann, </w:t>
      </w:r>
      <w:r w:rsidR="00D033CA">
        <w:rPr>
          <w:rFonts w:cs="Times New Roman"/>
          <w:noProof/>
          <w:lang w:val="en-US"/>
        </w:rPr>
        <w:t>“</w:t>
      </w:r>
      <w:r w:rsidRPr="006D2065">
        <w:rPr>
          <w:rFonts w:cs="Times New Roman"/>
          <w:noProof/>
          <w:lang w:val="en-US"/>
        </w:rPr>
        <w:t>Neutral Beam Collisions at 5 TeV,</w:t>
      </w:r>
      <w:r w:rsidR="00D033CA">
        <w:rPr>
          <w:rFonts w:cs="Times New Roman"/>
          <w:noProof/>
          <w:lang w:val="en-US"/>
        </w:rPr>
        <w:t>”</w:t>
      </w:r>
      <w:r w:rsidRPr="006D2065">
        <w:rPr>
          <w:rFonts w:cs="Times New Roman"/>
          <w:noProof/>
          <w:lang w:val="en-US"/>
        </w:rPr>
        <w:t xml:space="preserve"> </w:t>
      </w:r>
      <w:r w:rsidR="006975B2">
        <w:rPr>
          <w:rFonts w:cs="Times New Roman"/>
          <w:noProof/>
          <w:lang w:val="en-US"/>
        </w:rPr>
        <w:t xml:space="preserve">SLAC National Accelerator Laboratory, Menlo Park, CA, USA, Rep. </w:t>
      </w:r>
      <w:r w:rsidR="006975B2" w:rsidRPr="006D2065">
        <w:rPr>
          <w:rFonts w:cs="Times New Roman"/>
          <w:noProof/>
          <w:lang w:val="en-US"/>
        </w:rPr>
        <w:t>SLAC</w:t>
      </w:r>
      <w:r w:rsidR="006975B2">
        <w:rPr>
          <w:rFonts w:cs="Times New Roman"/>
          <w:noProof/>
          <w:lang w:val="en-US"/>
        </w:rPr>
        <w:t>-PUB-</w:t>
      </w:r>
      <w:r w:rsidR="00BC3587">
        <w:rPr>
          <w:rFonts w:cs="Times New Roman"/>
          <w:noProof/>
          <w:lang w:val="en-US"/>
        </w:rPr>
        <w:t>7808</w:t>
      </w:r>
      <w:r w:rsidR="006975B2" w:rsidRPr="006D2065">
        <w:rPr>
          <w:rFonts w:cs="Times New Roman"/>
          <w:noProof/>
          <w:lang w:val="en-US"/>
        </w:rPr>
        <w:t xml:space="preserve">, </w:t>
      </w:r>
      <w:r w:rsidR="006975B2">
        <w:rPr>
          <w:rFonts w:cs="Times New Roman"/>
          <w:noProof/>
          <w:lang w:val="en-US"/>
        </w:rPr>
        <w:t>A</w:t>
      </w:r>
      <w:r w:rsidR="00BC3587">
        <w:rPr>
          <w:rFonts w:cs="Times New Roman"/>
          <w:noProof/>
          <w:lang w:val="en-US"/>
        </w:rPr>
        <w:t>pr</w:t>
      </w:r>
      <w:r w:rsidR="006975B2">
        <w:rPr>
          <w:rFonts w:cs="Times New Roman"/>
          <w:noProof/>
          <w:lang w:val="en-US"/>
        </w:rPr>
        <w:t xml:space="preserve">. </w:t>
      </w:r>
      <w:r w:rsidR="006975B2" w:rsidRPr="006D2065">
        <w:rPr>
          <w:rFonts w:cs="Times New Roman"/>
          <w:noProof/>
          <w:lang w:val="en-US"/>
        </w:rPr>
        <w:t>1986</w:t>
      </w:r>
      <w:r w:rsidR="00BC3587">
        <w:rPr>
          <w:rFonts w:cs="Times New Roman"/>
          <w:noProof/>
          <w:lang w:val="en-US"/>
        </w:rPr>
        <w:t>.</w:t>
      </w:r>
      <w:r w:rsidRPr="00FA3D78">
        <w:rPr>
          <w:rFonts w:cs="Times New Roman"/>
          <w:noProof/>
          <w:lang w:val="en-US"/>
        </w:rPr>
        <w:t xml:space="preserve"> </w:t>
      </w:r>
    </w:p>
    <w:p w14:paraId="766A39A5" w14:textId="68DF5007" w:rsidR="009A7D98" w:rsidRPr="00FA3D78" w:rsidRDefault="00D6337B" w:rsidP="00D532DB">
      <w:pPr>
        <w:pStyle w:val="JACoWReference1-9when10Refs"/>
        <w:numPr>
          <w:ilvl w:val="0"/>
          <w:numId w:val="36"/>
        </w:numPr>
        <w:spacing w:line="240" w:lineRule="auto"/>
        <w:ind w:left="386" w:hanging="295"/>
      </w:pPr>
      <w:r>
        <w:rPr>
          <w:rFonts w:cs="Times New Roman"/>
          <w:noProof/>
          <w:lang w:val="en-US"/>
        </w:rPr>
        <w:t>J. B. Rosenzweig</w:t>
      </w:r>
      <w:r w:rsidR="00962BCB">
        <w:rPr>
          <w:rFonts w:cs="Times New Roman"/>
          <w:noProof/>
          <w:lang w:val="en-US"/>
        </w:rPr>
        <w:t>, B. Autin, P. Chen</w:t>
      </w:r>
      <w:r w:rsidR="009A7D98" w:rsidRPr="006D2065">
        <w:rPr>
          <w:rFonts w:cs="Times New Roman"/>
          <w:noProof/>
          <w:lang w:val="en-US"/>
        </w:rPr>
        <w:t xml:space="preserve">, </w:t>
      </w:r>
      <w:r w:rsidR="00D033CA">
        <w:rPr>
          <w:rFonts w:cs="Times New Roman"/>
          <w:noProof/>
          <w:lang w:val="en-US"/>
        </w:rPr>
        <w:t>“</w:t>
      </w:r>
      <w:r w:rsidR="009A7D98" w:rsidRPr="006D2065">
        <w:rPr>
          <w:rFonts w:cs="Times New Roman"/>
          <w:noProof/>
          <w:lang w:val="en-US"/>
        </w:rPr>
        <w:t>Instability of Compensated Beam-Beam Collisions</w:t>
      </w:r>
      <w:r w:rsidR="00D033CA">
        <w:rPr>
          <w:rFonts w:cs="Times New Roman"/>
          <w:noProof/>
          <w:lang w:val="en-US"/>
        </w:rPr>
        <w:t>”</w:t>
      </w:r>
      <w:r w:rsidR="001B78E7">
        <w:rPr>
          <w:rFonts w:cs="Times New Roman"/>
          <w:noProof/>
          <w:lang w:val="en-US"/>
        </w:rPr>
        <w:t xml:space="preserve">, </w:t>
      </w:r>
      <w:r w:rsidR="001B78E7">
        <w:rPr>
          <w:rFonts w:cs="Times New Roman"/>
          <w:i/>
          <w:iCs/>
          <w:noProof/>
          <w:lang w:val="en-US"/>
        </w:rPr>
        <w:t>AIP Conf. Proc.</w:t>
      </w:r>
      <w:r w:rsidR="003F64D5">
        <w:rPr>
          <w:rFonts w:cs="Times New Roman"/>
          <w:noProof/>
          <w:lang w:val="en-US"/>
        </w:rPr>
        <w:t>, vol. 193, pp. 324-339, Oct. 1989</w:t>
      </w:r>
      <w:r w:rsidR="009A7D98" w:rsidRPr="006D2065">
        <w:rPr>
          <w:rFonts w:cs="Times New Roman"/>
          <w:noProof/>
          <w:lang w:val="en-US"/>
        </w:rPr>
        <w:t>.</w:t>
      </w:r>
      <w:r w:rsidR="00B276F6">
        <w:rPr>
          <w:rFonts w:cs="Times New Roman"/>
          <w:noProof/>
          <w:lang w:val="en-US"/>
        </w:rPr>
        <w:br/>
      </w:r>
      <w:hyperlink r:id="rId21" w:history="1">
        <w:r w:rsidR="00B276F6" w:rsidRPr="00AA43E7">
          <w:rPr>
            <w:rStyle w:val="Hyperlink"/>
            <w:rFonts w:cs="Consolas"/>
            <w:noProof/>
            <w:szCs w:val="16"/>
            <w:lang w:val="en-US"/>
          </w:rPr>
          <w:t>doi:10.1</w:t>
        </w:r>
        <w:r w:rsidR="00B276F6">
          <w:rPr>
            <w:rStyle w:val="Hyperlink"/>
            <w:rFonts w:cs="Consolas"/>
            <w:noProof/>
            <w:szCs w:val="16"/>
            <w:lang w:val="en-US"/>
          </w:rPr>
          <w:t>063/1.38740</w:t>
        </w:r>
      </w:hyperlink>
    </w:p>
    <w:p w14:paraId="56FB1EB3" w14:textId="3A2ED37C" w:rsidR="009A7D98" w:rsidRPr="00FA3D78" w:rsidRDefault="00ED597A" w:rsidP="00D532DB">
      <w:pPr>
        <w:pStyle w:val="JACoWReference1-9when10Refs"/>
        <w:numPr>
          <w:ilvl w:val="0"/>
          <w:numId w:val="36"/>
        </w:numPr>
        <w:spacing w:line="240" w:lineRule="auto"/>
        <w:ind w:left="386" w:hanging="295"/>
      </w:pPr>
      <w:r>
        <w:rPr>
          <w:rFonts w:cs="Times New Roman"/>
          <w:noProof/>
          <w:lang w:val="en-US"/>
        </w:rPr>
        <w:t>D. H. Whittum, A. M. Sessler, J. J. Stewart and S. S. Yu</w:t>
      </w:r>
      <w:r w:rsidR="009A7D98" w:rsidRPr="006D2065">
        <w:rPr>
          <w:rFonts w:cs="Times New Roman"/>
          <w:noProof/>
          <w:lang w:val="en-US"/>
        </w:rPr>
        <w:t xml:space="preserve">, </w:t>
      </w:r>
      <w:r w:rsidR="00876D9F">
        <w:rPr>
          <w:rFonts w:cs="Times New Roman"/>
          <w:noProof/>
          <w:lang w:val="en-US"/>
        </w:rPr>
        <w:t>“</w:t>
      </w:r>
      <w:r w:rsidR="009A7D98" w:rsidRPr="006D2065">
        <w:rPr>
          <w:rFonts w:cs="Times New Roman"/>
          <w:noProof/>
          <w:lang w:val="en-US"/>
        </w:rPr>
        <w:t>Plasma Suppression of Beamstrahlung</w:t>
      </w:r>
      <w:r w:rsidR="00876D9F">
        <w:rPr>
          <w:rFonts w:cs="Times New Roman"/>
          <w:noProof/>
          <w:lang w:val="en-US"/>
        </w:rPr>
        <w:t>”</w:t>
      </w:r>
      <w:r w:rsidR="009A7D98" w:rsidRPr="006D2065">
        <w:rPr>
          <w:rFonts w:cs="Times New Roman"/>
          <w:noProof/>
          <w:lang w:val="en-US"/>
        </w:rPr>
        <w:t xml:space="preserve">, </w:t>
      </w:r>
      <w:r w:rsidR="009A7D98" w:rsidRPr="006D2065">
        <w:rPr>
          <w:rFonts w:cs="Times New Roman"/>
          <w:i/>
          <w:iCs/>
          <w:noProof/>
          <w:lang w:val="en-US"/>
        </w:rPr>
        <w:t xml:space="preserve">Particle Accelerators, </w:t>
      </w:r>
      <w:r w:rsidR="009A7D98" w:rsidRPr="006D2065">
        <w:rPr>
          <w:rFonts w:cs="Times New Roman"/>
          <w:noProof/>
          <w:lang w:val="en-US"/>
        </w:rPr>
        <w:t xml:space="preserve">vol. 33, pp. 89-104, </w:t>
      </w:r>
      <w:r>
        <w:rPr>
          <w:rFonts w:cs="Times New Roman"/>
          <w:noProof/>
          <w:lang w:val="en-US"/>
        </w:rPr>
        <w:t>Dec. 1989</w:t>
      </w:r>
      <w:r w:rsidR="009A7D98" w:rsidRPr="006D2065">
        <w:rPr>
          <w:rFonts w:cs="Times New Roman"/>
          <w:noProof/>
          <w:lang w:val="en-US"/>
        </w:rPr>
        <w:t>.</w:t>
      </w:r>
      <w:r w:rsidR="009A7D98" w:rsidRPr="00FA3D78">
        <w:rPr>
          <w:rFonts w:cs="Times New Roman"/>
          <w:noProof/>
          <w:lang w:val="en-US"/>
        </w:rPr>
        <w:t xml:space="preserve"> </w:t>
      </w:r>
    </w:p>
    <w:p w14:paraId="3C3A117A" w14:textId="51D5F069" w:rsidR="003C68AC" w:rsidRPr="00A41153" w:rsidRDefault="003C68AC" w:rsidP="00D532DB">
      <w:pPr>
        <w:pStyle w:val="JACoWReference1-9when10Refs"/>
        <w:numPr>
          <w:ilvl w:val="0"/>
          <w:numId w:val="36"/>
        </w:numPr>
        <w:spacing w:line="240" w:lineRule="auto"/>
        <w:ind w:left="386" w:hanging="295"/>
        <w:rPr>
          <w:rFonts w:ascii="Helvetica Neue" w:hAnsi="Helvetica Neue"/>
          <w:color w:val="0A0A0A"/>
          <w:lang w:val="en-US"/>
        </w:rPr>
      </w:pPr>
      <w:r w:rsidRPr="00A41153">
        <w:rPr>
          <w:lang w:val="en-US"/>
        </w:rPr>
        <w:t xml:space="preserve">M. Bassetti and G. A. Erskine, </w:t>
      </w:r>
      <w:r w:rsidR="00582E23">
        <w:rPr>
          <w:lang w:val="en-US"/>
        </w:rPr>
        <w:t>“</w:t>
      </w:r>
      <w:r w:rsidRPr="00A41153">
        <w:rPr>
          <w:lang w:val="en-US"/>
        </w:rPr>
        <w:t>Closed expression for the electrical field of a two-dimensional Gaussian charge</w:t>
      </w:r>
      <w:r w:rsidR="00582E23">
        <w:rPr>
          <w:lang w:val="en-US"/>
        </w:rPr>
        <w:t>”</w:t>
      </w:r>
      <w:r w:rsidRPr="00A41153">
        <w:rPr>
          <w:lang w:val="en-US"/>
        </w:rPr>
        <w:t>,</w:t>
      </w:r>
      <w:r w:rsidR="00582E23">
        <w:rPr>
          <w:lang w:val="en-US"/>
        </w:rPr>
        <w:t xml:space="preserve"> CERN, Geneva, Switzerland</w:t>
      </w:r>
      <w:r w:rsidRPr="00A41153">
        <w:rPr>
          <w:lang w:val="en-US"/>
        </w:rPr>
        <w:t xml:space="preserve"> CERN-ISR-TH/80-06, Ma</w:t>
      </w:r>
      <w:r w:rsidR="00582E23">
        <w:rPr>
          <w:lang w:val="en-US"/>
        </w:rPr>
        <w:t>r. </w:t>
      </w:r>
      <w:r w:rsidRPr="00A41153">
        <w:rPr>
          <w:lang w:val="en-US"/>
        </w:rPr>
        <w:t>1980.</w:t>
      </w:r>
      <w:r w:rsidRPr="00A41153">
        <w:rPr>
          <w:rFonts w:ascii="Helvetica Neue" w:hAnsi="Helvetica Neue"/>
          <w:color w:val="0A0A0A"/>
          <w:lang w:val="en-US"/>
        </w:rPr>
        <w:t> </w:t>
      </w:r>
    </w:p>
    <w:p w14:paraId="20B835AB" w14:textId="4E9E2808" w:rsidR="00B03D46" w:rsidRDefault="00AC47F0" w:rsidP="00B03D46">
      <w:pPr>
        <w:pStyle w:val="JACoWReference10onwards"/>
        <w:numPr>
          <w:ilvl w:val="0"/>
          <w:numId w:val="36"/>
        </w:numPr>
        <w:spacing w:after="0" w:line="240" w:lineRule="auto"/>
        <w:ind w:left="386" w:hanging="386"/>
        <w:rPr>
          <w:noProof/>
          <w:lang w:val="en-US"/>
        </w:rPr>
      </w:pPr>
      <w:r>
        <w:rPr>
          <w:noProof/>
          <w:lang w:val="en-US"/>
        </w:rPr>
        <w:t xml:space="preserve">“The International Linear Collider Technical Design Report”, </w:t>
      </w:r>
      <w:r w:rsidR="003C68AC" w:rsidRPr="00AC47F0">
        <w:rPr>
          <w:noProof/>
          <w:lang w:val="en-US"/>
        </w:rPr>
        <w:t>T. Behnke</w:t>
      </w:r>
      <w:r w:rsidR="00FB6EE1">
        <w:rPr>
          <w:noProof/>
          <w:lang w:val="en-US"/>
        </w:rPr>
        <w:t>, Ed.</w:t>
      </w:r>
      <w:r w:rsidR="003C68AC" w:rsidRPr="00AC47F0">
        <w:rPr>
          <w:noProof/>
          <w:lang w:val="en-US"/>
        </w:rPr>
        <w:t xml:space="preserve">, </w:t>
      </w:r>
      <w:r w:rsidR="00FB6EE1">
        <w:rPr>
          <w:noProof/>
          <w:lang w:val="en-US"/>
        </w:rPr>
        <w:t>CERN, Geneva, Switzerland</w:t>
      </w:r>
      <w:r w:rsidR="002E0CF5">
        <w:rPr>
          <w:noProof/>
          <w:lang w:val="en-US"/>
        </w:rPr>
        <w:t>, Jun. 2013.</w:t>
      </w:r>
      <w:r w:rsidR="003C68AC" w:rsidRPr="00AC47F0">
        <w:rPr>
          <w:noProof/>
          <w:lang w:val="en-US"/>
        </w:rPr>
        <w:t xml:space="preserve"> 11 June 2013</w:t>
      </w:r>
      <w:r w:rsidR="00B03D46">
        <w:rPr>
          <w:noProof/>
          <w:lang w:val="en-US"/>
        </w:rPr>
        <w:t>.</w:t>
      </w:r>
    </w:p>
    <w:p w14:paraId="2593FABF" w14:textId="5C218A47" w:rsidR="00C45B42" w:rsidRPr="00AC47F0" w:rsidRDefault="00B03D46" w:rsidP="00B03D46">
      <w:pPr>
        <w:pStyle w:val="JACoWReference10onwards"/>
        <w:spacing w:line="240" w:lineRule="auto"/>
        <w:ind w:firstLine="0"/>
        <w:rPr>
          <w:noProof/>
          <w:lang w:val="en-US"/>
        </w:rPr>
      </w:pPr>
      <w:hyperlink r:id="rId22" w:history="1">
        <w:r w:rsidRPr="00AE1A58">
          <w:rPr>
            <w:rStyle w:val="Hyperlink"/>
            <w:rFonts w:cs="Times New Roman"/>
            <w:noProof/>
            <w:szCs w:val="16"/>
            <w:lang w:val="en-US"/>
          </w:rPr>
          <w:t>https://linearcollider.org/files/images/pdf/Executive%20Summary.pdf</w:t>
        </w:r>
      </w:hyperlink>
      <w:r w:rsidR="003C68AC" w:rsidRPr="008214D7">
        <w:rPr>
          <w:noProof/>
          <w:color w:val="365F91" w:themeColor="accent1" w:themeShade="BF"/>
          <w:lang w:val="en-US"/>
        </w:rPr>
        <w:t xml:space="preserve"> </w:t>
      </w:r>
    </w:p>
    <w:p w14:paraId="62E08BC1" w14:textId="208A2EFF" w:rsidR="000C4EAE" w:rsidRPr="003A1EC5" w:rsidRDefault="003A1EC5" w:rsidP="003A1EC5">
      <w:pPr>
        <w:pStyle w:val="JACoWReference10onwards"/>
        <w:numPr>
          <w:ilvl w:val="0"/>
          <w:numId w:val="36"/>
        </w:numPr>
        <w:ind w:left="386" w:hanging="386"/>
        <w:rPr>
          <w:noProof/>
          <w:kern w:val="0"/>
        </w:rPr>
      </w:pPr>
      <w:r w:rsidRPr="003A1EC5">
        <w:rPr>
          <w:noProof/>
          <w:kern w:val="0"/>
        </w:rPr>
        <w:t xml:space="preserve">G. P. Goderre and E. Malamud, “Helical Orbit Studies in the Tevatron”, in </w:t>
      </w:r>
      <w:r w:rsidRPr="003A1EC5">
        <w:rPr>
          <w:i/>
          <w:iCs/>
          <w:noProof/>
          <w:kern w:val="0"/>
        </w:rPr>
        <w:t>Proc. PAC'89</w:t>
      </w:r>
      <w:r w:rsidRPr="003A1EC5">
        <w:rPr>
          <w:noProof/>
          <w:kern w:val="0"/>
        </w:rPr>
        <w:t>, Chicago, IL, USA, Mar. 1989, pp. 1818-1821.</w:t>
      </w:r>
    </w:p>
    <w:p w14:paraId="5CCF5F19" w14:textId="53F169EC" w:rsidR="000C4EAE" w:rsidRPr="00B32C01" w:rsidRDefault="00920B92" w:rsidP="006B2DBB">
      <w:pPr>
        <w:pStyle w:val="JACoWReference10onwards"/>
        <w:numPr>
          <w:ilvl w:val="0"/>
          <w:numId w:val="36"/>
        </w:numPr>
        <w:ind w:left="386" w:hanging="386"/>
        <w:rPr>
          <w:noProof/>
          <w:kern w:val="0"/>
          <w:lang w:val="it-IT"/>
        </w:rPr>
      </w:pPr>
      <w:r w:rsidRPr="00C3272F">
        <w:rPr>
          <w:noProof/>
          <w:kern w:val="0"/>
          <w:lang w:val="en-US"/>
        </w:rPr>
        <w:t>B</w:t>
      </w:r>
      <w:r w:rsidR="006B2DBB" w:rsidRPr="006B2DBB">
        <w:rPr>
          <w:noProof/>
          <w:kern w:val="0"/>
        </w:rPr>
        <w:t xml:space="preserve">. Gamage and A. Hutton, “Multiple interaction points in ghost collisions”, in </w:t>
      </w:r>
      <w:r w:rsidR="006B2DBB" w:rsidRPr="006B2DBB">
        <w:rPr>
          <w:i/>
          <w:iCs/>
          <w:noProof/>
          <w:kern w:val="0"/>
        </w:rPr>
        <w:t xml:space="preserve">Proc. </w:t>
      </w:r>
      <w:r w:rsidR="006B2DBB" w:rsidRPr="00B32C01">
        <w:rPr>
          <w:i/>
          <w:iCs/>
          <w:noProof/>
          <w:kern w:val="0"/>
          <w:lang w:val="it-IT"/>
        </w:rPr>
        <w:t>NAPAC'25</w:t>
      </w:r>
      <w:r w:rsidR="006B2DBB" w:rsidRPr="00B32C01">
        <w:rPr>
          <w:noProof/>
          <w:kern w:val="0"/>
          <w:lang w:val="it-IT"/>
        </w:rPr>
        <w:t xml:space="preserve">, Sacramento, California, USA, Aug. 2025, pp. 529-532. </w:t>
      </w:r>
      <w:hyperlink r:id="rId23" w:history="1">
        <w:r w:rsidR="006B2DBB" w:rsidRPr="00B32C01">
          <w:rPr>
            <w:rStyle w:val="Hyperlink"/>
            <w:rFonts w:cs="Times New Roman"/>
            <w:noProof/>
            <w:kern w:val="0"/>
            <w:szCs w:val="16"/>
            <w:lang w:val="it-IT"/>
          </w:rPr>
          <w:t>doi:10.18429/JACoW-NAPAC2025-TUP070</w:t>
        </w:r>
      </w:hyperlink>
    </w:p>
    <w:p w14:paraId="25329EDD" w14:textId="77777777" w:rsidR="009527B2" w:rsidRDefault="00D647C0" w:rsidP="00B03D46">
      <w:pPr>
        <w:pStyle w:val="JACoWReference10onwards"/>
        <w:spacing w:after="0"/>
        <w:ind w:firstLine="0"/>
        <w:rPr>
          <w:noProof/>
          <w:kern w:val="0"/>
        </w:rPr>
      </w:pPr>
      <w:r w:rsidRPr="00E640E1">
        <w:rPr>
          <w:noProof/>
          <w:kern w:val="0"/>
          <w:lang w:val="en-US"/>
        </w:rPr>
        <w:t>N</w:t>
      </w:r>
      <w:r w:rsidR="00E640E1" w:rsidRPr="00E640E1">
        <w:rPr>
          <w:noProof/>
          <w:kern w:val="0"/>
        </w:rPr>
        <w:t xml:space="preserve">. C. Shipman </w:t>
      </w:r>
      <w:r w:rsidR="00E640E1" w:rsidRPr="00E640E1">
        <w:rPr>
          <w:i/>
          <w:iCs/>
          <w:noProof/>
          <w:kern w:val="0"/>
        </w:rPr>
        <w:t>et al.</w:t>
      </w:r>
      <w:r w:rsidR="00E640E1" w:rsidRPr="00E640E1">
        <w:rPr>
          <w:noProof/>
          <w:kern w:val="0"/>
        </w:rPr>
        <w:t xml:space="preserve">, “A Ferroelectric Fast Reactive Tuner (FE-FRT) to Combat Microphonics”, in </w:t>
      </w:r>
      <w:r w:rsidR="00E640E1" w:rsidRPr="00E640E1">
        <w:rPr>
          <w:i/>
          <w:iCs/>
          <w:noProof/>
          <w:kern w:val="0"/>
        </w:rPr>
        <w:t>Proc. ERL'19</w:t>
      </w:r>
      <w:r w:rsidR="00E640E1" w:rsidRPr="00E640E1">
        <w:rPr>
          <w:noProof/>
          <w:kern w:val="0"/>
        </w:rPr>
        <w:t xml:space="preserve">, Berlin, Germany, Sep. 2019, pp. 42-47. </w:t>
      </w:r>
    </w:p>
    <w:p w14:paraId="227DAEC8" w14:textId="197128B0" w:rsidR="009527B2" w:rsidRPr="009527B2" w:rsidRDefault="009527B2" w:rsidP="009527B2">
      <w:pPr>
        <w:pStyle w:val="JACoWReference10onwards"/>
        <w:ind w:firstLine="0"/>
        <w:rPr>
          <w:noProof/>
          <w:kern w:val="0"/>
        </w:rPr>
      </w:pPr>
      <w:hyperlink r:id="rId24" w:history="1">
        <w:r w:rsidRPr="009527B2">
          <w:rPr>
            <w:rStyle w:val="Hyperlink"/>
            <w:rFonts w:cs="Times New Roman"/>
            <w:noProof/>
            <w:kern w:val="0"/>
            <w:szCs w:val="16"/>
          </w:rPr>
          <w:t>doi:10.18429/JACoW-ERL2019-TUCOZBS02</w:t>
        </w:r>
      </w:hyperlink>
    </w:p>
    <w:p w14:paraId="7909EB00" w14:textId="322DC4C6" w:rsidR="009527B2" w:rsidRDefault="0038147B" w:rsidP="009527B2">
      <w:pPr>
        <w:pStyle w:val="JACoWReference10onwards"/>
        <w:numPr>
          <w:ilvl w:val="0"/>
          <w:numId w:val="36"/>
        </w:numPr>
        <w:ind w:left="386" w:hanging="386"/>
        <w:rPr>
          <w:noProof/>
          <w:kern w:val="0"/>
        </w:rPr>
      </w:pPr>
      <w:r>
        <w:rPr>
          <w:noProof/>
          <w:kern w:val="0"/>
        </w:rPr>
        <w:t>M. Sands</w:t>
      </w:r>
      <w:r w:rsidR="00107A4B">
        <w:rPr>
          <w:noProof/>
          <w:kern w:val="0"/>
        </w:rPr>
        <w:t>, “The Physics of Electron Storage Rings: An Introduction</w:t>
      </w:r>
      <w:r w:rsidR="009D7D20">
        <w:rPr>
          <w:noProof/>
          <w:kern w:val="0"/>
        </w:rPr>
        <w:t xml:space="preserve">”, </w:t>
      </w:r>
      <w:r w:rsidR="009D7D20">
        <w:rPr>
          <w:i/>
          <w:iCs/>
          <w:noProof/>
          <w:kern w:val="0"/>
        </w:rPr>
        <w:t>Conf. Proc. C</w:t>
      </w:r>
      <w:r w:rsidR="009D7D20">
        <w:rPr>
          <w:noProof/>
          <w:kern w:val="0"/>
        </w:rPr>
        <w:t>, vol. 6906161, pp. 257-441</w:t>
      </w:r>
      <w:r w:rsidR="006105D5">
        <w:rPr>
          <w:noProof/>
          <w:kern w:val="0"/>
        </w:rPr>
        <w:t xml:space="preserve">, 1969. </w:t>
      </w:r>
      <w:hyperlink r:id="rId25" w:history="1">
        <w:r w:rsidR="006105D5" w:rsidRPr="006105D5">
          <w:rPr>
            <w:rStyle w:val="Hyperlink"/>
            <w:rFonts w:ascii="Times New Roman" w:hAnsi="Times New Roman" w:cs="Times New Roman"/>
            <w:noProof/>
            <w:kern w:val="0"/>
            <w:sz w:val="18"/>
            <w:szCs w:val="18"/>
          </w:rPr>
          <w:t>osti.gov/servlets/purl/4064201/</w:t>
        </w:r>
      </w:hyperlink>
    </w:p>
    <w:p w14:paraId="47A1B271" w14:textId="47B22BF6" w:rsidR="009527B2" w:rsidRPr="00DD40A6" w:rsidRDefault="00DD40A6" w:rsidP="009527B2">
      <w:pPr>
        <w:pStyle w:val="JACoWReference10onwards"/>
        <w:numPr>
          <w:ilvl w:val="0"/>
          <w:numId w:val="36"/>
        </w:numPr>
        <w:ind w:left="386" w:hanging="386"/>
        <w:rPr>
          <w:noProof/>
          <w:kern w:val="0"/>
        </w:rPr>
      </w:pPr>
      <w:r w:rsidRPr="00DD40A6">
        <w:rPr>
          <w:noProof/>
          <w:kern w:val="0"/>
        </w:rPr>
        <w:t xml:space="preserve">C. G. Schroer, </w:t>
      </w:r>
      <w:r w:rsidRPr="00DD40A6">
        <w:rPr>
          <w:i/>
          <w:iCs/>
          <w:noProof/>
          <w:kern w:val="0"/>
        </w:rPr>
        <w:t>et al.</w:t>
      </w:r>
      <w:r w:rsidRPr="00DD40A6">
        <w:rPr>
          <w:noProof/>
          <w:kern w:val="0"/>
        </w:rPr>
        <w:t>, “PETRA IV: the ultralow-emittance source project at</w:t>
      </w:r>
      <w:r>
        <w:rPr>
          <w:noProof/>
          <w:kern w:val="0"/>
        </w:rPr>
        <w:t xml:space="preserve"> DESY</w:t>
      </w:r>
      <w:r w:rsidR="006D5697">
        <w:rPr>
          <w:noProof/>
          <w:kern w:val="0"/>
        </w:rPr>
        <w:t xml:space="preserve">”, </w:t>
      </w:r>
      <w:r w:rsidR="006D5697">
        <w:rPr>
          <w:i/>
          <w:iCs/>
          <w:noProof/>
          <w:kern w:val="0"/>
        </w:rPr>
        <w:t>J. Synchrotron Radiat.</w:t>
      </w:r>
      <w:r w:rsidR="006D5697">
        <w:rPr>
          <w:noProof/>
          <w:kern w:val="0"/>
        </w:rPr>
        <w:t>, vol. 25, no. 5, pp. 1277-1290</w:t>
      </w:r>
      <w:r w:rsidR="00FF382F">
        <w:rPr>
          <w:noProof/>
          <w:kern w:val="0"/>
        </w:rPr>
        <w:t xml:space="preserve">, Aug. 2018. </w:t>
      </w:r>
      <w:hyperlink r:id="rId26" w:history="1">
        <w:r w:rsidR="00FF382F" w:rsidRPr="00FE720F">
          <w:rPr>
            <w:rStyle w:val="Hyperlink"/>
            <w:rFonts w:cs="Times New Roman"/>
            <w:noProof/>
            <w:kern w:val="0"/>
            <w:szCs w:val="16"/>
          </w:rPr>
          <w:t>doi:10.1107/S1600577518008858</w:t>
        </w:r>
      </w:hyperlink>
    </w:p>
    <w:p w14:paraId="7ED15765" w14:textId="77777777" w:rsidR="009527B2" w:rsidRPr="00DD40A6" w:rsidRDefault="009527B2" w:rsidP="00EE7BBB">
      <w:pPr>
        <w:pStyle w:val="JACoWReference10onwards"/>
        <w:ind w:left="0" w:firstLine="0"/>
        <w:rPr>
          <w:noProof/>
          <w:kern w:val="0"/>
        </w:rPr>
      </w:pPr>
    </w:p>
    <w:p w14:paraId="14199A81" w14:textId="77777777" w:rsidR="00D647C0" w:rsidRPr="00DD40A6" w:rsidRDefault="00D647C0" w:rsidP="0025422C">
      <w:pPr>
        <w:pStyle w:val="JACoWReference10onwards"/>
        <w:ind w:left="0" w:firstLine="0"/>
        <w:rPr>
          <w:noProof/>
        </w:rPr>
      </w:pPr>
    </w:p>
    <w:sectPr w:rsidR="00D647C0" w:rsidRPr="00DD40A6" w:rsidSect="004566EB">
      <w:footnotePr>
        <w:pos w:val="beneathText"/>
        <w:numFmt w:val="chicago"/>
      </w:footnotePr>
      <w:endnotePr>
        <w:numFmt w:val="decimal"/>
      </w:endnotePr>
      <w:type w:val="continuous"/>
      <w:pgSz w:w="11901" w:h="15842" w:code="227"/>
      <w:pgMar w:top="1077" w:right="1134" w:bottom="1077" w:left="1134" w:header="0" w:footer="0" w:gutter="0"/>
      <w:cols w:num="2" w:space="28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9EEE10" w14:textId="77777777" w:rsidR="003E38B5" w:rsidRDefault="003E38B5" w:rsidP="00255081"/>
  </w:endnote>
  <w:endnote w:type="continuationSeparator" w:id="0">
    <w:p w14:paraId="7FFBBFAC" w14:textId="77777777" w:rsidR="003E38B5" w:rsidRDefault="003E38B5" w:rsidP="002550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Liberation Mono">
    <w:altName w:val="Calibri"/>
    <w:charset w:val="00"/>
    <w:family w:val="modern"/>
    <w:pitch w:val="fixed"/>
    <w:sig w:usb0="A00002AF" w:usb1="5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6FF" w:usb1="4000FCFF" w:usb2="00000009" w:usb3="00000000" w:csb0="0000019F" w:csb1="00000000"/>
  </w:font>
  <w:font w:name="Calibri">
    <w:panose1 w:val="020F0502020204030204"/>
    <w:charset w:val="00"/>
    <w:family w:val="swiss"/>
    <w:pitch w:val="variable"/>
    <w:sig w:usb0="E4002EFF" w:usb1="C200247B" w:usb2="00000009" w:usb3="00000000" w:csb0="000001FF" w:csb1="00000000"/>
  </w:font>
  <w:font w:name="avenir-light">
    <w:altName w:val="Calibri"/>
    <w:charset w:val="4D"/>
    <w:family w:val="swiss"/>
    <w:pitch w:val="variable"/>
    <w:sig w:usb0="800000AF" w:usb1="5000204A" w:usb2="00000000" w:usb3="00000000" w:csb0="0000009B" w:csb1="00000000"/>
  </w:font>
  <w:font w:name="Cambria Math">
    <w:panose1 w:val="02040503050406030204"/>
    <w:charset w:val="00"/>
    <w:family w:val="roman"/>
    <w:pitch w:val="variable"/>
    <w:sig w:usb0="E00006FF" w:usb1="420024FF" w:usb2="02000000" w:usb3="00000000" w:csb0="0000019F" w:csb1="00000000"/>
    <w:embedRegular r:id="rId1" w:fontKey="{521FC6CC-1496-422F-8802-24FA4FC897CB}"/>
    <w:embedItalic r:id="rId2" w:fontKey="{D7EBBFF6-4445-4604-9B17-CB9314F7B024}"/>
  </w:font>
  <w:font w:name="Helvetica">
    <w:panose1 w:val="020B0604020202020204"/>
    <w:charset w:val="00"/>
    <w:family w:val="swiss"/>
    <w:pitch w:val="variable"/>
    <w:sig w:usb0="E0002EFF" w:usb1="C000785B" w:usb2="00000009" w:usb3="00000000" w:csb0="000001FF" w:csb1="00000000"/>
    <w:embedRegular r:id="rId3" w:subsetted="1" w:fontKey="{C8A1E017-3CAC-4B08-91EF-4DA2C2D962A7}"/>
  </w:font>
  <w:font w:name="Snell Roundhand">
    <w:charset w:val="4D"/>
    <w:family w:val="auto"/>
    <w:pitch w:val="variable"/>
    <w:sig w:usb0="80000027" w:usb1="00000000" w:usb2="00000000" w:usb3="00000000" w:csb0="00000111" w:csb1="00000000"/>
    <w:embedRegular r:id="rId4" w:subsetted="1" w:fontKey="{971D9ECD-1B4C-41DE-918A-178C77EDD982}"/>
  </w:font>
  <w:font w:name="Apple Chancery">
    <w:altName w:val="Arial"/>
    <w:charset w:val="B1"/>
    <w:family w:val="script"/>
    <w:pitch w:val="variable"/>
    <w:sig w:usb0="80000867" w:usb1="00000003" w:usb2="00000000" w:usb3="00000000" w:csb0="000001F3" w:csb1="00000000"/>
  </w:font>
  <w:font w:name="+mn-ea">
    <w:panose1 w:val="00000000000000000000"/>
    <w:charset w:val="00"/>
    <w:family w:val="roman"/>
    <w:notTrueType/>
    <w:pitch w:val="default"/>
  </w:font>
  <w:font w:name="Helvetica Neue">
    <w:altName w:val="Sylfaen"/>
    <w:charset w:val="00"/>
    <w:family w:val="auto"/>
    <w:pitch w:val="variable"/>
    <w:sig w:usb0="E50002FF" w:usb1="500079DB" w:usb2="0000001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10CF5E" w14:textId="77777777" w:rsidR="003E38B5" w:rsidRDefault="003E38B5" w:rsidP="00255081">
      <w:r>
        <w:separator/>
      </w:r>
    </w:p>
  </w:footnote>
  <w:footnote w:type="continuationSeparator" w:id="0">
    <w:p w14:paraId="2C58C2A5" w14:textId="77777777" w:rsidR="003E38B5" w:rsidRDefault="003E38B5" w:rsidP="0025508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3558D40C"/>
    <w:lvl w:ilvl="0">
      <w:start w:val="1"/>
      <w:numFmt w:val="decimal"/>
      <w:pStyle w:val="ListNumber5"/>
      <w:lvlText w:val="%1."/>
      <w:lvlJc w:val="left"/>
      <w:pPr>
        <w:tabs>
          <w:tab w:val="num" w:pos="2084"/>
        </w:tabs>
        <w:ind w:left="2084" w:hanging="360"/>
      </w:pPr>
    </w:lvl>
  </w:abstractNum>
  <w:abstractNum w:abstractNumId="1" w15:restartNumberingAfterBreak="0">
    <w:nsid w:val="FFFFFF7D"/>
    <w:multiLevelType w:val="singleLevel"/>
    <w:tmpl w:val="33CA23EA"/>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3270694E"/>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AACA95B8"/>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EDB6FCCC"/>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BC6BB9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1654F7EA"/>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CD64F0BC"/>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228641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4A506F9A"/>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45A1261"/>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0C931A29"/>
    <w:multiLevelType w:val="hybridMultilevel"/>
    <w:tmpl w:val="7200C35E"/>
    <w:lvl w:ilvl="0" w:tplc="C728D6F0">
      <w:start w:val="1"/>
      <w:numFmt w:val="upperLetter"/>
      <w:lvlText w:val="%1."/>
      <w:lvlJc w:val="left"/>
      <w:pPr>
        <w:ind w:left="547" w:hanging="360"/>
      </w:pPr>
      <w:rPr>
        <w:rFonts w:hint="default"/>
      </w:rPr>
    </w:lvl>
    <w:lvl w:ilvl="1" w:tplc="08070019" w:tentative="1">
      <w:start w:val="1"/>
      <w:numFmt w:val="lowerLetter"/>
      <w:lvlText w:val="%2."/>
      <w:lvlJc w:val="left"/>
      <w:pPr>
        <w:ind w:left="1267" w:hanging="360"/>
      </w:pPr>
    </w:lvl>
    <w:lvl w:ilvl="2" w:tplc="0807001B" w:tentative="1">
      <w:start w:val="1"/>
      <w:numFmt w:val="lowerRoman"/>
      <w:lvlText w:val="%3."/>
      <w:lvlJc w:val="right"/>
      <w:pPr>
        <w:ind w:left="1987" w:hanging="180"/>
      </w:pPr>
    </w:lvl>
    <w:lvl w:ilvl="3" w:tplc="0807000F" w:tentative="1">
      <w:start w:val="1"/>
      <w:numFmt w:val="decimal"/>
      <w:lvlText w:val="%4."/>
      <w:lvlJc w:val="left"/>
      <w:pPr>
        <w:ind w:left="2707" w:hanging="360"/>
      </w:pPr>
    </w:lvl>
    <w:lvl w:ilvl="4" w:tplc="08070019" w:tentative="1">
      <w:start w:val="1"/>
      <w:numFmt w:val="lowerLetter"/>
      <w:lvlText w:val="%5."/>
      <w:lvlJc w:val="left"/>
      <w:pPr>
        <w:ind w:left="3427" w:hanging="360"/>
      </w:pPr>
    </w:lvl>
    <w:lvl w:ilvl="5" w:tplc="0807001B" w:tentative="1">
      <w:start w:val="1"/>
      <w:numFmt w:val="lowerRoman"/>
      <w:lvlText w:val="%6."/>
      <w:lvlJc w:val="right"/>
      <w:pPr>
        <w:ind w:left="4147" w:hanging="180"/>
      </w:pPr>
    </w:lvl>
    <w:lvl w:ilvl="6" w:tplc="0807000F" w:tentative="1">
      <w:start w:val="1"/>
      <w:numFmt w:val="decimal"/>
      <w:lvlText w:val="%7."/>
      <w:lvlJc w:val="left"/>
      <w:pPr>
        <w:ind w:left="4867" w:hanging="360"/>
      </w:pPr>
    </w:lvl>
    <w:lvl w:ilvl="7" w:tplc="08070019" w:tentative="1">
      <w:start w:val="1"/>
      <w:numFmt w:val="lowerLetter"/>
      <w:lvlText w:val="%8."/>
      <w:lvlJc w:val="left"/>
      <w:pPr>
        <w:ind w:left="5587" w:hanging="360"/>
      </w:pPr>
    </w:lvl>
    <w:lvl w:ilvl="8" w:tplc="0807001B" w:tentative="1">
      <w:start w:val="1"/>
      <w:numFmt w:val="lowerRoman"/>
      <w:lvlText w:val="%9."/>
      <w:lvlJc w:val="right"/>
      <w:pPr>
        <w:ind w:left="6307" w:hanging="180"/>
      </w:pPr>
    </w:lvl>
  </w:abstractNum>
  <w:abstractNum w:abstractNumId="12" w15:restartNumberingAfterBreak="0">
    <w:nsid w:val="11324CD7"/>
    <w:multiLevelType w:val="hybridMultilevel"/>
    <w:tmpl w:val="8A22D800"/>
    <w:lvl w:ilvl="0" w:tplc="0D54BF70">
      <w:start w:val="1"/>
      <w:numFmt w:val="bullet"/>
      <w:pStyle w:val="JACoWBulletedList"/>
      <w:lvlText w:val=""/>
      <w:lvlJc w:val="left"/>
      <w:pPr>
        <w:tabs>
          <w:tab w:val="num" w:pos="2754"/>
        </w:tabs>
        <w:ind w:left="2754" w:hanging="202"/>
      </w:pPr>
      <w:rPr>
        <w:rFonts w:ascii="Symbol" w:hAnsi="Symbol" w:hint="default"/>
      </w:rPr>
    </w:lvl>
    <w:lvl w:ilvl="1" w:tplc="04090003" w:tentative="1">
      <w:start w:val="1"/>
      <w:numFmt w:val="bullet"/>
      <w:lvlText w:val="o"/>
      <w:lvlJc w:val="left"/>
      <w:pPr>
        <w:tabs>
          <w:tab w:val="num" w:pos="1620"/>
        </w:tabs>
        <w:ind w:left="1620" w:hanging="360"/>
      </w:pPr>
      <w:rPr>
        <w:rFonts w:ascii="Courier New" w:hAnsi="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13" w15:restartNumberingAfterBreak="0">
    <w:nsid w:val="17596ECF"/>
    <w:multiLevelType w:val="hybridMultilevel"/>
    <w:tmpl w:val="79DC6AFC"/>
    <w:lvl w:ilvl="0" w:tplc="40820D9C">
      <w:start w:val="1"/>
      <w:numFmt w:val="upperLetter"/>
      <w:lvlText w:val="%1."/>
      <w:lvlJc w:val="left"/>
      <w:pPr>
        <w:ind w:left="547" w:hanging="360"/>
      </w:pPr>
      <w:rPr>
        <w:rFonts w:hint="default"/>
      </w:rPr>
    </w:lvl>
    <w:lvl w:ilvl="1" w:tplc="08070019" w:tentative="1">
      <w:start w:val="1"/>
      <w:numFmt w:val="lowerLetter"/>
      <w:lvlText w:val="%2."/>
      <w:lvlJc w:val="left"/>
      <w:pPr>
        <w:ind w:left="1267" w:hanging="360"/>
      </w:pPr>
    </w:lvl>
    <w:lvl w:ilvl="2" w:tplc="0807001B" w:tentative="1">
      <w:start w:val="1"/>
      <w:numFmt w:val="lowerRoman"/>
      <w:lvlText w:val="%3."/>
      <w:lvlJc w:val="right"/>
      <w:pPr>
        <w:ind w:left="1987" w:hanging="180"/>
      </w:pPr>
    </w:lvl>
    <w:lvl w:ilvl="3" w:tplc="0807000F" w:tentative="1">
      <w:start w:val="1"/>
      <w:numFmt w:val="decimal"/>
      <w:lvlText w:val="%4."/>
      <w:lvlJc w:val="left"/>
      <w:pPr>
        <w:ind w:left="2707" w:hanging="360"/>
      </w:pPr>
    </w:lvl>
    <w:lvl w:ilvl="4" w:tplc="08070019" w:tentative="1">
      <w:start w:val="1"/>
      <w:numFmt w:val="lowerLetter"/>
      <w:lvlText w:val="%5."/>
      <w:lvlJc w:val="left"/>
      <w:pPr>
        <w:ind w:left="3427" w:hanging="360"/>
      </w:pPr>
    </w:lvl>
    <w:lvl w:ilvl="5" w:tplc="0807001B" w:tentative="1">
      <w:start w:val="1"/>
      <w:numFmt w:val="lowerRoman"/>
      <w:lvlText w:val="%6."/>
      <w:lvlJc w:val="right"/>
      <w:pPr>
        <w:ind w:left="4147" w:hanging="180"/>
      </w:pPr>
    </w:lvl>
    <w:lvl w:ilvl="6" w:tplc="0807000F" w:tentative="1">
      <w:start w:val="1"/>
      <w:numFmt w:val="decimal"/>
      <w:lvlText w:val="%7."/>
      <w:lvlJc w:val="left"/>
      <w:pPr>
        <w:ind w:left="4867" w:hanging="360"/>
      </w:pPr>
    </w:lvl>
    <w:lvl w:ilvl="7" w:tplc="08070019" w:tentative="1">
      <w:start w:val="1"/>
      <w:numFmt w:val="lowerLetter"/>
      <w:lvlText w:val="%8."/>
      <w:lvlJc w:val="left"/>
      <w:pPr>
        <w:ind w:left="5587" w:hanging="360"/>
      </w:pPr>
    </w:lvl>
    <w:lvl w:ilvl="8" w:tplc="0807001B" w:tentative="1">
      <w:start w:val="1"/>
      <w:numFmt w:val="lowerRoman"/>
      <w:lvlText w:val="%9."/>
      <w:lvlJc w:val="right"/>
      <w:pPr>
        <w:ind w:left="6307" w:hanging="180"/>
      </w:pPr>
    </w:lvl>
  </w:abstractNum>
  <w:abstractNum w:abstractNumId="14" w15:restartNumberingAfterBreak="0">
    <w:nsid w:val="21EA3E2E"/>
    <w:multiLevelType w:val="multilevel"/>
    <w:tmpl w:val="40C6752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15:restartNumberingAfterBreak="0">
    <w:nsid w:val="266F2449"/>
    <w:multiLevelType w:val="hybridMultilevel"/>
    <w:tmpl w:val="5AC4AB52"/>
    <w:lvl w:ilvl="0" w:tplc="CD722D6E">
      <w:start w:val="1"/>
      <w:numFmt w:val="upp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6" w15:restartNumberingAfterBreak="0">
    <w:nsid w:val="28C00D87"/>
    <w:multiLevelType w:val="hybridMultilevel"/>
    <w:tmpl w:val="BE10F168"/>
    <w:lvl w:ilvl="0" w:tplc="22881874">
      <w:start w:val="1"/>
      <w:numFmt w:val="decimal"/>
      <w:lvlText w:val="[%1]"/>
      <w:lvlJc w:val="left"/>
      <w:pPr>
        <w:ind w:left="451" w:hanging="360"/>
      </w:pPr>
      <w:rPr>
        <w:rFonts w:hint="default"/>
      </w:rPr>
    </w:lvl>
    <w:lvl w:ilvl="1" w:tplc="04090019" w:tentative="1">
      <w:start w:val="1"/>
      <w:numFmt w:val="lowerLetter"/>
      <w:lvlText w:val="%2."/>
      <w:lvlJc w:val="left"/>
      <w:pPr>
        <w:ind w:left="1171" w:hanging="360"/>
      </w:pPr>
    </w:lvl>
    <w:lvl w:ilvl="2" w:tplc="0409001B" w:tentative="1">
      <w:start w:val="1"/>
      <w:numFmt w:val="lowerRoman"/>
      <w:lvlText w:val="%3."/>
      <w:lvlJc w:val="right"/>
      <w:pPr>
        <w:ind w:left="1891" w:hanging="180"/>
      </w:pPr>
    </w:lvl>
    <w:lvl w:ilvl="3" w:tplc="0409000F" w:tentative="1">
      <w:start w:val="1"/>
      <w:numFmt w:val="decimal"/>
      <w:lvlText w:val="%4."/>
      <w:lvlJc w:val="left"/>
      <w:pPr>
        <w:ind w:left="2611" w:hanging="360"/>
      </w:pPr>
    </w:lvl>
    <w:lvl w:ilvl="4" w:tplc="04090019" w:tentative="1">
      <w:start w:val="1"/>
      <w:numFmt w:val="lowerLetter"/>
      <w:lvlText w:val="%5."/>
      <w:lvlJc w:val="left"/>
      <w:pPr>
        <w:ind w:left="3331" w:hanging="360"/>
      </w:pPr>
    </w:lvl>
    <w:lvl w:ilvl="5" w:tplc="0409001B" w:tentative="1">
      <w:start w:val="1"/>
      <w:numFmt w:val="lowerRoman"/>
      <w:lvlText w:val="%6."/>
      <w:lvlJc w:val="right"/>
      <w:pPr>
        <w:ind w:left="4051" w:hanging="180"/>
      </w:pPr>
    </w:lvl>
    <w:lvl w:ilvl="6" w:tplc="0409000F" w:tentative="1">
      <w:start w:val="1"/>
      <w:numFmt w:val="decimal"/>
      <w:lvlText w:val="%7."/>
      <w:lvlJc w:val="left"/>
      <w:pPr>
        <w:ind w:left="4771" w:hanging="360"/>
      </w:pPr>
    </w:lvl>
    <w:lvl w:ilvl="7" w:tplc="04090019" w:tentative="1">
      <w:start w:val="1"/>
      <w:numFmt w:val="lowerLetter"/>
      <w:lvlText w:val="%8."/>
      <w:lvlJc w:val="left"/>
      <w:pPr>
        <w:ind w:left="5491" w:hanging="360"/>
      </w:pPr>
    </w:lvl>
    <w:lvl w:ilvl="8" w:tplc="0409001B" w:tentative="1">
      <w:start w:val="1"/>
      <w:numFmt w:val="lowerRoman"/>
      <w:lvlText w:val="%9."/>
      <w:lvlJc w:val="right"/>
      <w:pPr>
        <w:ind w:left="6211" w:hanging="180"/>
      </w:pPr>
    </w:lvl>
  </w:abstractNum>
  <w:abstractNum w:abstractNumId="17" w15:restartNumberingAfterBreak="0">
    <w:nsid w:val="2FE05216"/>
    <w:multiLevelType w:val="hybridMultilevel"/>
    <w:tmpl w:val="65700BC8"/>
    <w:lvl w:ilvl="0" w:tplc="66B84272">
      <w:start w:val="4"/>
      <w:numFmt w:val="decimal"/>
      <w:lvlText w:val="%1"/>
      <w:lvlJc w:val="left"/>
      <w:pPr>
        <w:ind w:left="1080" w:hanging="360"/>
      </w:pPr>
      <w:rPr>
        <w:rFonts w:hint="default"/>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18" w15:restartNumberingAfterBreak="0">
    <w:nsid w:val="39942D14"/>
    <w:multiLevelType w:val="hybridMultilevel"/>
    <w:tmpl w:val="86AAB890"/>
    <w:lvl w:ilvl="0" w:tplc="0807000B">
      <w:start w:val="4"/>
      <w:numFmt w:val="bullet"/>
      <w:lvlText w:val=""/>
      <w:lvlJc w:val="left"/>
      <w:pPr>
        <w:ind w:left="720" w:hanging="360"/>
      </w:pPr>
      <w:rPr>
        <w:rFonts w:ascii="Wingdings" w:eastAsia="Times New Roman" w:hAnsi="Wingdings"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9" w15:restartNumberingAfterBreak="0">
    <w:nsid w:val="3C8E5347"/>
    <w:multiLevelType w:val="hybridMultilevel"/>
    <w:tmpl w:val="4DE6E570"/>
    <w:lvl w:ilvl="0" w:tplc="82D6D066">
      <w:start w:val="4"/>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0" w15:restartNumberingAfterBreak="0">
    <w:nsid w:val="3EF90EFD"/>
    <w:multiLevelType w:val="hybridMultilevel"/>
    <w:tmpl w:val="59FA4BF6"/>
    <w:lvl w:ilvl="0" w:tplc="08070001">
      <w:start w:val="1"/>
      <w:numFmt w:val="bullet"/>
      <w:lvlText w:val=""/>
      <w:lvlJc w:val="left"/>
      <w:pPr>
        <w:ind w:left="3195" w:hanging="360"/>
      </w:pPr>
      <w:rPr>
        <w:rFonts w:ascii="Symbol" w:hAnsi="Symbol" w:hint="default"/>
      </w:rPr>
    </w:lvl>
    <w:lvl w:ilvl="1" w:tplc="04090003" w:tentative="1">
      <w:start w:val="1"/>
      <w:numFmt w:val="bullet"/>
      <w:lvlText w:val="o"/>
      <w:lvlJc w:val="left"/>
      <w:pPr>
        <w:ind w:left="3915" w:hanging="360"/>
      </w:pPr>
      <w:rPr>
        <w:rFonts w:ascii="Courier New" w:hAnsi="Courier New" w:cs="Courier New" w:hint="default"/>
      </w:rPr>
    </w:lvl>
    <w:lvl w:ilvl="2" w:tplc="04090005" w:tentative="1">
      <w:start w:val="1"/>
      <w:numFmt w:val="bullet"/>
      <w:lvlText w:val=""/>
      <w:lvlJc w:val="left"/>
      <w:pPr>
        <w:ind w:left="4635" w:hanging="360"/>
      </w:pPr>
      <w:rPr>
        <w:rFonts w:ascii="Wingdings" w:hAnsi="Wingdings" w:hint="default"/>
      </w:rPr>
    </w:lvl>
    <w:lvl w:ilvl="3" w:tplc="04090001" w:tentative="1">
      <w:start w:val="1"/>
      <w:numFmt w:val="bullet"/>
      <w:lvlText w:val=""/>
      <w:lvlJc w:val="left"/>
      <w:pPr>
        <w:ind w:left="5355" w:hanging="360"/>
      </w:pPr>
      <w:rPr>
        <w:rFonts w:ascii="Symbol" w:hAnsi="Symbol" w:hint="default"/>
      </w:rPr>
    </w:lvl>
    <w:lvl w:ilvl="4" w:tplc="04090003" w:tentative="1">
      <w:start w:val="1"/>
      <w:numFmt w:val="bullet"/>
      <w:lvlText w:val="o"/>
      <w:lvlJc w:val="left"/>
      <w:pPr>
        <w:ind w:left="6075" w:hanging="360"/>
      </w:pPr>
      <w:rPr>
        <w:rFonts w:ascii="Courier New" w:hAnsi="Courier New" w:cs="Courier New" w:hint="default"/>
      </w:rPr>
    </w:lvl>
    <w:lvl w:ilvl="5" w:tplc="04090005" w:tentative="1">
      <w:start w:val="1"/>
      <w:numFmt w:val="bullet"/>
      <w:lvlText w:val=""/>
      <w:lvlJc w:val="left"/>
      <w:pPr>
        <w:ind w:left="6795" w:hanging="360"/>
      </w:pPr>
      <w:rPr>
        <w:rFonts w:ascii="Wingdings" w:hAnsi="Wingdings" w:hint="default"/>
      </w:rPr>
    </w:lvl>
    <w:lvl w:ilvl="6" w:tplc="04090001" w:tentative="1">
      <w:start w:val="1"/>
      <w:numFmt w:val="bullet"/>
      <w:lvlText w:val=""/>
      <w:lvlJc w:val="left"/>
      <w:pPr>
        <w:ind w:left="7515" w:hanging="360"/>
      </w:pPr>
      <w:rPr>
        <w:rFonts w:ascii="Symbol" w:hAnsi="Symbol" w:hint="default"/>
      </w:rPr>
    </w:lvl>
    <w:lvl w:ilvl="7" w:tplc="04090003" w:tentative="1">
      <w:start w:val="1"/>
      <w:numFmt w:val="bullet"/>
      <w:lvlText w:val="o"/>
      <w:lvlJc w:val="left"/>
      <w:pPr>
        <w:ind w:left="8235" w:hanging="360"/>
      </w:pPr>
      <w:rPr>
        <w:rFonts w:ascii="Courier New" w:hAnsi="Courier New" w:cs="Courier New" w:hint="default"/>
      </w:rPr>
    </w:lvl>
    <w:lvl w:ilvl="8" w:tplc="04090005" w:tentative="1">
      <w:start w:val="1"/>
      <w:numFmt w:val="bullet"/>
      <w:lvlText w:val=""/>
      <w:lvlJc w:val="left"/>
      <w:pPr>
        <w:ind w:left="8955" w:hanging="360"/>
      </w:pPr>
      <w:rPr>
        <w:rFonts w:ascii="Wingdings" w:hAnsi="Wingdings" w:hint="default"/>
      </w:rPr>
    </w:lvl>
  </w:abstractNum>
  <w:abstractNum w:abstractNumId="21" w15:restartNumberingAfterBreak="0">
    <w:nsid w:val="44635A35"/>
    <w:multiLevelType w:val="hybridMultilevel"/>
    <w:tmpl w:val="DFA6737A"/>
    <w:lvl w:ilvl="0" w:tplc="B80C1C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EB13124"/>
    <w:multiLevelType w:val="hybridMultilevel"/>
    <w:tmpl w:val="5628B936"/>
    <w:lvl w:ilvl="0" w:tplc="6C42BC68">
      <w:start w:val="4"/>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3" w15:restartNumberingAfterBreak="0">
    <w:nsid w:val="52F72675"/>
    <w:multiLevelType w:val="hybridMultilevel"/>
    <w:tmpl w:val="252A4992"/>
    <w:lvl w:ilvl="0" w:tplc="0409000F">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4" w15:restartNumberingAfterBreak="0">
    <w:nsid w:val="5C1427A8"/>
    <w:multiLevelType w:val="hybridMultilevel"/>
    <w:tmpl w:val="205E0C46"/>
    <w:lvl w:ilvl="0" w:tplc="4DE2586A">
      <w:start w:val="1"/>
      <w:numFmt w:val="decimal"/>
      <w:lvlText w:val="%1"/>
      <w:lvlJc w:val="left"/>
      <w:pPr>
        <w:tabs>
          <w:tab w:val="num" w:pos="360"/>
        </w:tabs>
        <w:ind w:left="360" w:hanging="360"/>
      </w:pPr>
      <w:rPr>
        <w:rFonts w:ascii="Times" w:hAnsi="Times" w:hint="default"/>
        <w:b/>
        <w:i w:val="0"/>
        <w:sz w:val="24"/>
      </w:rPr>
    </w:lvl>
    <w:lvl w:ilvl="1" w:tplc="3724E022">
      <w:numFmt w:val="none"/>
      <w:lvlText w:val=""/>
      <w:lvlJc w:val="left"/>
      <w:pPr>
        <w:tabs>
          <w:tab w:val="num" w:pos="360"/>
        </w:tabs>
      </w:pPr>
    </w:lvl>
    <w:lvl w:ilvl="2" w:tplc="3BA20238">
      <w:numFmt w:val="none"/>
      <w:lvlText w:val=""/>
      <w:lvlJc w:val="left"/>
      <w:pPr>
        <w:tabs>
          <w:tab w:val="num" w:pos="360"/>
        </w:tabs>
      </w:pPr>
    </w:lvl>
    <w:lvl w:ilvl="3" w:tplc="998E4A0A">
      <w:numFmt w:val="none"/>
      <w:lvlText w:val=""/>
      <w:lvlJc w:val="left"/>
      <w:pPr>
        <w:tabs>
          <w:tab w:val="num" w:pos="360"/>
        </w:tabs>
      </w:pPr>
    </w:lvl>
    <w:lvl w:ilvl="4" w:tplc="C4D83908">
      <w:numFmt w:val="none"/>
      <w:lvlText w:val=""/>
      <w:lvlJc w:val="left"/>
      <w:pPr>
        <w:tabs>
          <w:tab w:val="num" w:pos="360"/>
        </w:tabs>
      </w:pPr>
    </w:lvl>
    <w:lvl w:ilvl="5" w:tplc="78FE03DA">
      <w:numFmt w:val="none"/>
      <w:lvlText w:val=""/>
      <w:lvlJc w:val="left"/>
      <w:pPr>
        <w:tabs>
          <w:tab w:val="num" w:pos="360"/>
        </w:tabs>
      </w:pPr>
    </w:lvl>
    <w:lvl w:ilvl="6" w:tplc="24AAE1CA">
      <w:numFmt w:val="none"/>
      <w:lvlText w:val=""/>
      <w:lvlJc w:val="left"/>
      <w:pPr>
        <w:tabs>
          <w:tab w:val="num" w:pos="360"/>
        </w:tabs>
      </w:pPr>
    </w:lvl>
    <w:lvl w:ilvl="7" w:tplc="AC7C8E80">
      <w:numFmt w:val="none"/>
      <w:lvlText w:val=""/>
      <w:lvlJc w:val="left"/>
      <w:pPr>
        <w:tabs>
          <w:tab w:val="num" w:pos="360"/>
        </w:tabs>
      </w:pPr>
    </w:lvl>
    <w:lvl w:ilvl="8" w:tplc="5EA8CA18">
      <w:numFmt w:val="none"/>
      <w:lvlText w:val=""/>
      <w:lvlJc w:val="left"/>
      <w:pPr>
        <w:tabs>
          <w:tab w:val="num" w:pos="360"/>
        </w:tabs>
      </w:pPr>
    </w:lvl>
  </w:abstractNum>
  <w:abstractNum w:abstractNumId="25" w15:restartNumberingAfterBreak="0">
    <w:nsid w:val="5EFC4232"/>
    <w:multiLevelType w:val="hybridMultilevel"/>
    <w:tmpl w:val="72B044C4"/>
    <w:lvl w:ilvl="0" w:tplc="0409000F">
      <w:start w:val="1"/>
      <w:numFmt w:val="decimal"/>
      <w:lvlText w:val="%1."/>
      <w:lvlJc w:val="left"/>
      <w:pPr>
        <w:ind w:left="3195" w:hanging="360"/>
      </w:pPr>
      <w:rPr>
        <w:rFonts w:hint="default"/>
      </w:rPr>
    </w:lvl>
    <w:lvl w:ilvl="1" w:tplc="04090003" w:tentative="1">
      <w:start w:val="1"/>
      <w:numFmt w:val="bullet"/>
      <w:lvlText w:val="o"/>
      <w:lvlJc w:val="left"/>
      <w:pPr>
        <w:ind w:left="3915" w:hanging="360"/>
      </w:pPr>
      <w:rPr>
        <w:rFonts w:ascii="Courier New" w:hAnsi="Courier New" w:cs="Courier New" w:hint="default"/>
      </w:rPr>
    </w:lvl>
    <w:lvl w:ilvl="2" w:tplc="04090005" w:tentative="1">
      <w:start w:val="1"/>
      <w:numFmt w:val="bullet"/>
      <w:lvlText w:val=""/>
      <w:lvlJc w:val="left"/>
      <w:pPr>
        <w:ind w:left="4635" w:hanging="360"/>
      </w:pPr>
      <w:rPr>
        <w:rFonts w:ascii="Wingdings" w:hAnsi="Wingdings" w:hint="default"/>
      </w:rPr>
    </w:lvl>
    <w:lvl w:ilvl="3" w:tplc="04090001" w:tentative="1">
      <w:start w:val="1"/>
      <w:numFmt w:val="bullet"/>
      <w:lvlText w:val=""/>
      <w:lvlJc w:val="left"/>
      <w:pPr>
        <w:ind w:left="5355" w:hanging="360"/>
      </w:pPr>
      <w:rPr>
        <w:rFonts w:ascii="Symbol" w:hAnsi="Symbol" w:hint="default"/>
      </w:rPr>
    </w:lvl>
    <w:lvl w:ilvl="4" w:tplc="04090003" w:tentative="1">
      <w:start w:val="1"/>
      <w:numFmt w:val="bullet"/>
      <w:lvlText w:val="o"/>
      <w:lvlJc w:val="left"/>
      <w:pPr>
        <w:ind w:left="6075" w:hanging="360"/>
      </w:pPr>
      <w:rPr>
        <w:rFonts w:ascii="Courier New" w:hAnsi="Courier New" w:cs="Courier New" w:hint="default"/>
      </w:rPr>
    </w:lvl>
    <w:lvl w:ilvl="5" w:tplc="04090005" w:tentative="1">
      <w:start w:val="1"/>
      <w:numFmt w:val="bullet"/>
      <w:lvlText w:val=""/>
      <w:lvlJc w:val="left"/>
      <w:pPr>
        <w:ind w:left="6795" w:hanging="360"/>
      </w:pPr>
      <w:rPr>
        <w:rFonts w:ascii="Wingdings" w:hAnsi="Wingdings" w:hint="default"/>
      </w:rPr>
    </w:lvl>
    <w:lvl w:ilvl="6" w:tplc="04090001" w:tentative="1">
      <w:start w:val="1"/>
      <w:numFmt w:val="bullet"/>
      <w:lvlText w:val=""/>
      <w:lvlJc w:val="left"/>
      <w:pPr>
        <w:ind w:left="7515" w:hanging="360"/>
      </w:pPr>
      <w:rPr>
        <w:rFonts w:ascii="Symbol" w:hAnsi="Symbol" w:hint="default"/>
      </w:rPr>
    </w:lvl>
    <w:lvl w:ilvl="7" w:tplc="04090003" w:tentative="1">
      <w:start w:val="1"/>
      <w:numFmt w:val="bullet"/>
      <w:lvlText w:val="o"/>
      <w:lvlJc w:val="left"/>
      <w:pPr>
        <w:ind w:left="8235" w:hanging="360"/>
      </w:pPr>
      <w:rPr>
        <w:rFonts w:ascii="Courier New" w:hAnsi="Courier New" w:cs="Courier New" w:hint="default"/>
      </w:rPr>
    </w:lvl>
    <w:lvl w:ilvl="8" w:tplc="04090005" w:tentative="1">
      <w:start w:val="1"/>
      <w:numFmt w:val="bullet"/>
      <w:lvlText w:val=""/>
      <w:lvlJc w:val="left"/>
      <w:pPr>
        <w:ind w:left="8955" w:hanging="360"/>
      </w:pPr>
      <w:rPr>
        <w:rFonts w:ascii="Wingdings" w:hAnsi="Wingdings" w:hint="default"/>
      </w:rPr>
    </w:lvl>
  </w:abstractNum>
  <w:abstractNum w:abstractNumId="26" w15:restartNumberingAfterBreak="0">
    <w:nsid w:val="626753B2"/>
    <w:multiLevelType w:val="hybridMultilevel"/>
    <w:tmpl w:val="D646C29A"/>
    <w:lvl w:ilvl="0" w:tplc="0807000B">
      <w:start w:val="4"/>
      <w:numFmt w:val="bullet"/>
      <w:lvlText w:val=""/>
      <w:lvlJc w:val="left"/>
      <w:pPr>
        <w:ind w:left="720" w:hanging="360"/>
      </w:pPr>
      <w:rPr>
        <w:rFonts w:ascii="Wingdings" w:eastAsia="Times New Roman" w:hAnsi="Wingdings"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7" w15:restartNumberingAfterBreak="0">
    <w:nsid w:val="64E74E66"/>
    <w:multiLevelType w:val="hybridMultilevel"/>
    <w:tmpl w:val="AB78A53A"/>
    <w:lvl w:ilvl="0" w:tplc="1F6234FA">
      <w:start w:val="1"/>
      <w:numFmt w:val="upperLetter"/>
      <w:lvlText w:val="%1."/>
      <w:lvlJc w:val="left"/>
      <w:pPr>
        <w:ind w:left="547" w:hanging="360"/>
      </w:pPr>
      <w:rPr>
        <w:rFonts w:hint="default"/>
      </w:rPr>
    </w:lvl>
    <w:lvl w:ilvl="1" w:tplc="08070019" w:tentative="1">
      <w:start w:val="1"/>
      <w:numFmt w:val="lowerLetter"/>
      <w:lvlText w:val="%2."/>
      <w:lvlJc w:val="left"/>
      <w:pPr>
        <w:ind w:left="1267" w:hanging="360"/>
      </w:pPr>
    </w:lvl>
    <w:lvl w:ilvl="2" w:tplc="0807001B" w:tentative="1">
      <w:start w:val="1"/>
      <w:numFmt w:val="lowerRoman"/>
      <w:lvlText w:val="%3."/>
      <w:lvlJc w:val="right"/>
      <w:pPr>
        <w:ind w:left="1987" w:hanging="180"/>
      </w:pPr>
    </w:lvl>
    <w:lvl w:ilvl="3" w:tplc="0807000F" w:tentative="1">
      <w:start w:val="1"/>
      <w:numFmt w:val="decimal"/>
      <w:lvlText w:val="%4."/>
      <w:lvlJc w:val="left"/>
      <w:pPr>
        <w:ind w:left="2707" w:hanging="360"/>
      </w:pPr>
    </w:lvl>
    <w:lvl w:ilvl="4" w:tplc="08070019" w:tentative="1">
      <w:start w:val="1"/>
      <w:numFmt w:val="lowerLetter"/>
      <w:lvlText w:val="%5."/>
      <w:lvlJc w:val="left"/>
      <w:pPr>
        <w:ind w:left="3427" w:hanging="360"/>
      </w:pPr>
    </w:lvl>
    <w:lvl w:ilvl="5" w:tplc="0807001B" w:tentative="1">
      <w:start w:val="1"/>
      <w:numFmt w:val="lowerRoman"/>
      <w:lvlText w:val="%6."/>
      <w:lvlJc w:val="right"/>
      <w:pPr>
        <w:ind w:left="4147" w:hanging="180"/>
      </w:pPr>
    </w:lvl>
    <w:lvl w:ilvl="6" w:tplc="0807000F" w:tentative="1">
      <w:start w:val="1"/>
      <w:numFmt w:val="decimal"/>
      <w:lvlText w:val="%7."/>
      <w:lvlJc w:val="left"/>
      <w:pPr>
        <w:ind w:left="4867" w:hanging="360"/>
      </w:pPr>
    </w:lvl>
    <w:lvl w:ilvl="7" w:tplc="08070019" w:tentative="1">
      <w:start w:val="1"/>
      <w:numFmt w:val="lowerLetter"/>
      <w:lvlText w:val="%8."/>
      <w:lvlJc w:val="left"/>
      <w:pPr>
        <w:ind w:left="5587" w:hanging="360"/>
      </w:pPr>
    </w:lvl>
    <w:lvl w:ilvl="8" w:tplc="0807001B" w:tentative="1">
      <w:start w:val="1"/>
      <w:numFmt w:val="lowerRoman"/>
      <w:lvlText w:val="%9."/>
      <w:lvlJc w:val="right"/>
      <w:pPr>
        <w:ind w:left="6307" w:hanging="180"/>
      </w:pPr>
    </w:lvl>
  </w:abstractNum>
  <w:abstractNum w:abstractNumId="28" w15:restartNumberingAfterBreak="0">
    <w:nsid w:val="65140563"/>
    <w:multiLevelType w:val="hybridMultilevel"/>
    <w:tmpl w:val="B0E49A5E"/>
    <w:lvl w:ilvl="0" w:tplc="84E02844">
      <w:start w:val="1"/>
      <w:numFmt w:val="decimal"/>
      <w:lvlText w:val="%1)"/>
      <w:lvlJc w:val="left"/>
      <w:pPr>
        <w:tabs>
          <w:tab w:val="num" w:pos="720"/>
        </w:tabs>
        <w:ind w:left="720" w:hanging="360"/>
      </w:pPr>
    </w:lvl>
    <w:lvl w:ilvl="1" w:tplc="18748542" w:tentative="1">
      <w:start w:val="1"/>
      <w:numFmt w:val="decimal"/>
      <w:lvlText w:val="%2)"/>
      <w:lvlJc w:val="left"/>
      <w:pPr>
        <w:tabs>
          <w:tab w:val="num" w:pos="1440"/>
        </w:tabs>
        <w:ind w:left="1440" w:hanging="360"/>
      </w:pPr>
    </w:lvl>
    <w:lvl w:ilvl="2" w:tplc="CC0EBDD0">
      <w:start w:val="102"/>
      <w:numFmt w:val="bullet"/>
      <w:lvlText w:val="•"/>
      <w:lvlJc w:val="left"/>
      <w:pPr>
        <w:tabs>
          <w:tab w:val="num" w:pos="2160"/>
        </w:tabs>
        <w:ind w:left="2160" w:hanging="360"/>
      </w:pPr>
      <w:rPr>
        <w:rFonts w:ascii="Times New Roman" w:hAnsi="Times New Roman" w:hint="default"/>
      </w:rPr>
    </w:lvl>
    <w:lvl w:ilvl="3" w:tplc="4BD0EEF8" w:tentative="1">
      <w:start w:val="1"/>
      <w:numFmt w:val="decimal"/>
      <w:lvlText w:val="%4)"/>
      <w:lvlJc w:val="left"/>
      <w:pPr>
        <w:tabs>
          <w:tab w:val="num" w:pos="2880"/>
        </w:tabs>
        <w:ind w:left="2880" w:hanging="360"/>
      </w:pPr>
    </w:lvl>
    <w:lvl w:ilvl="4" w:tplc="41B4E2FE" w:tentative="1">
      <w:start w:val="1"/>
      <w:numFmt w:val="decimal"/>
      <w:lvlText w:val="%5)"/>
      <w:lvlJc w:val="left"/>
      <w:pPr>
        <w:tabs>
          <w:tab w:val="num" w:pos="3600"/>
        </w:tabs>
        <w:ind w:left="3600" w:hanging="360"/>
      </w:pPr>
    </w:lvl>
    <w:lvl w:ilvl="5" w:tplc="B1B29C76" w:tentative="1">
      <w:start w:val="1"/>
      <w:numFmt w:val="decimal"/>
      <w:lvlText w:val="%6)"/>
      <w:lvlJc w:val="left"/>
      <w:pPr>
        <w:tabs>
          <w:tab w:val="num" w:pos="4320"/>
        </w:tabs>
        <w:ind w:left="4320" w:hanging="360"/>
      </w:pPr>
    </w:lvl>
    <w:lvl w:ilvl="6" w:tplc="FCEEEC02" w:tentative="1">
      <w:start w:val="1"/>
      <w:numFmt w:val="decimal"/>
      <w:lvlText w:val="%7)"/>
      <w:lvlJc w:val="left"/>
      <w:pPr>
        <w:tabs>
          <w:tab w:val="num" w:pos="5040"/>
        </w:tabs>
        <w:ind w:left="5040" w:hanging="360"/>
      </w:pPr>
    </w:lvl>
    <w:lvl w:ilvl="7" w:tplc="92904CB0" w:tentative="1">
      <w:start w:val="1"/>
      <w:numFmt w:val="decimal"/>
      <w:lvlText w:val="%8)"/>
      <w:lvlJc w:val="left"/>
      <w:pPr>
        <w:tabs>
          <w:tab w:val="num" w:pos="5760"/>
        </w:tabs>
        <w:ind w:left="5760" w:hanging="360"/>
      </w:pPr>
    </w:lvl>
    <w:lvl w:ilvl="8" w:tplc="8D4E618E" w:tentative="1">
      <w:start w:val="1"/>
      <w:numFmt w:val="decimal"/>
      <w:lvlText w:val="%9)"/>
      <w:lvlJc w:val="left"/>
      <w:pPr>
        <w:tabs>
          <w:tab w:val="num" w:pos="6480"/>
        </w:tabs>
        <w:ind w:left="6480" w:hanging="360"/>
      </w:pPr>
    </w:lvl>
  </w:abstractNum>
  <w:abstractNum w:abstractNumId="29" w15:restartNumberingAfterBreak="0">
    <w:nsid w:val="67016AE4"/>
    <w:multiLevelType w:val="hybridMultilevel"/>
    <w:tmpl w:val="F82663BE"/>
    <w:lvl w:ilvl="0" w:tplc="04090001">
      <w:start w:val="1"/>
      <w:numFmt w:val="bullet"/>
      <w:lvlText w:val=""/>
      <w:lvlJc w:val="left"/>
      <w:pPr>
        <w:ind w:left="907" w:hanging="360"/>
      </w:pPr>
      <w:rPr>
        <w:rFonts w:ascii="Symbol" w:hAnsi="Symbol" w:hint="default"/>
      </w:rPr>
    </w:lvl>
    <w:lvl w:ilvl="1" w:tplc="04090003" w:tentative="1">
      <w:start w:val="1"/>
      <w:numFmt w:val="bullet"/>
      <w:lvlText w:val="o"/>
      <w:lvlJc w:val="left"/>
      <w:pPr>
        <w:ind w:left="1627" w:hanging="360"/>
      </w:pPr>
      <w:rPr>
        <w:rFonts w:ascii="Courier New" w:hAnsi="Courier New" w:cs="Courier New" w:hint="default"/>
      </w:rPr>
    </w:lvl>
    <w:lvl w:ilvl="2" w:tplc="04090005" w:tentative="1">
      <w:start w:val="1"/>
      <w:numFmt w:val="bullet"/>
      <w:lvlText w:val=""/>
      <w:lvlJc w:val="left"/>
      <w:pPr>
        <w:ind w:left="2347" w:hanging="360"/>
      </w:pPr>
      <w:rPr>
        <w:rFonts w:ascii="Wingdings" w:hAnsi="Wingdings" w:hint="default"/>
      </w:rPr>
    </w:lvl>
    <w:lvl w:ilvl="3" w:tplc="04090001" w:tentative="1">
      <w:start w:val="1"/>
      <w:numFmt w:val="bullet"/>
      <w:lvlText w:val=""/>
      <w:lvlJc w:val="left"/>
      <w:pPr>
        <w:ind w:left="3067" w:hanging="360"/>
      </w:pPr>
      <w:rPr>
        <w:rFonts w:ascii="Symbol" w:hAnsi="Symbol" w:hint="default"/>
      </w:rPr>
    </w:lvl>
    <w:lvl w:ilvl="4" w:tplc="04090003" w:tentative="1">
      <w:start w:val="1"/>
      <w:numFmt w:val="bullet"/>
      <w:lvlText w:val="o"/>
      <w:lvlJc w:val="left"/>
      <w:pPr>
        <w:ind w:left="3787" w:hanging="360"/>
      </w:pPr>
      <w:rPr>
        <w:rFonts w:ascii="Courier New" w:hAnsi="Courier New" w:cs="Courier New" w:hint="default"/>
      </w:rPr>
    </w:lvl>
    <w:lvl w:ilvl="5" w:tplc="04090005" w:tentative="1">
      <w:start w:val="1"/>
      <w:numFmt w:val="bullet"/>
      <w:lvlText w:val=""/>
      <w:lvlJc w:val="left"/>
      <w:pPr>
        <w:ind w:left="4507" w:hanging="360"/>
      </w:pPr>
      <w:rPr>
        <w:rFonts w:ascii="Wingdings" w:hAnsi="Wingdings" w:hint="default"/>
      </w:rPr>
    </w:lvl>
    <w:lvl w:ilvl="6" w:tplc="04090001" w:tentative="1">
      <w:start w:val="1"/>
      <w:numFmt w:val="bullet"/>
      <w:lvlText w:val=""/>
      <w:lvlJc w:val="left"/>
      <w:pPr>
        <w:ind w:left="5227" w:hanging="360"/>
      </w:pPr>
      <w:rPr>
        <w:rFonts w:ascii="Symbol" w:hAnsi="Symbol" w:hint="default"/>
      </w:rPr>
    </w:lvl>
    <w:lvl w:ilvl="7" w:tplc="04090003" w:tentative="1">
      <w:start w:val="1"/>
      <w:numFmt w:val="bullet"/>
      <w:lvlText w:val="o"/>
      <w:lvlJc w:val="left"/>
      <w:pPr>
        <w:ind w:left="5947" w:hanging="360"/>
      </w:pPr>
      <w:rPr>
        <w:rFonts w:ascii="Courier New" w:hAnsi="Courier New" w:cs="Courier New" w:hint="default"/>
      </w:rPr>
    </w:lvl>
    <w:lvl w:ilvl="8" w:tplc="04090005" w:tentative="1">
      <w:start w:val="1"/>
      <w:numFmt w:val="bullet"/>
      <w:lvlText w:val=""/>
      <w:lvlJc w:val="left"/>
      <w:pPr>
        <w:ind w:left="6667" w:hanging="360"/>
      </w:pPr>
      <w:rPr>
        <w:rFonts w:ascii="Wingdings" w:hAnsi="Wingdings" w:hint="default"/>
      </w:rPr>
    </w:lvl>
  </w:abstractNum>
  <w:abstractNum w:abstractNumId="30" w15:restartNumberingAfterBreak="0">
    <w:nsid w:val="694A0248"/>
    <w:multiLevelType w:val="hybridMultilevel"/>
    <w:tmpl w:val="7BD620F6"/>
    <w:lvl w:ilvl="0" w:tplc="CCF4351E">
      <w:start w:val="1"/>
      <w:numFmt w:val="decimal"/>
      <w:pStyle w:val="JACoWNumberedlist"/>
      <w:lvlText w:val="%1."/>
      <w:lvlJc w:val="left"/>
      <w:pPr>
        <w:ind w:left="3054" w:hanging="360"/>
      </w:pPr>
      <w:rPr>
        <w:rFonts w:hint="default"/>
      </w:rPr>
    </w:lvl>
    <w:lvl w:ilvl="1" w:tplc="04090003" w:tentative="1">
      <w:start w:val="1"/>
      <w:numFmt w:val="bullet"/>
      <w:lvlText w:val="o"/>
      <w:lvlJc w:val="left"/>
      <w:pPr>
        <w:ind w:left="3632" w:hanging="360"/>
      </w:pPr>
      <w:rPr>
        <w:rFonts w:ascii="Courier New" w:hAnsi="Courier New" w:cs="Courier New" w:hint="default"/>
      </w:rPr>
    </w:lvl>
    <w:lvl w:ilvl="2" w:tplc="04090005" w:tentative="1">
      <w:start w:val="1"/>
      <w:numFmt w:val="bullet"/>
      <w:lvlText w:val=""/>
      <w:lvlJc w:val="left"/>
      <w:pPr>
        <w:ind w:left="4352" w:hanging="360"/>
      </w:pPr>
      <w:rPr>
        <w:rFonts w:ascii="Wingdings" w:hAnsi="Wingdings" w:hint="default"/>
      </w:rPr>
    </w:lvl>
    <w:lvl w:ilvl="3" w:tplc="E8905F5E">
      <w:start w:val="1"/>
      <w:numFmt w:val="decimal"/>
      <w:lvlText w:val="%4."/>
      <w:lvlJc w:val="left"/>
      <w:pPr>
        <w:ind w:left="3054" w:hanging="360"/>
      </w:pPr>
      <w:rPr>
        <w:rFonts w:hint="default"/>
        <w:b w:val="0"/>
      </w:rPr>
    </w:lvl>
    <w:lvl w:ilvl="4" w:tplc="04090003" w:tentative="1">
      <w:start w:val="1"/>
      <w:numFmt w:val="bullet"/>
      <w:lvlText w:val="o"/>
      <w:lvlJc w:val="left"/>
      <w:pPr>
        <w:ind w:left="5792" w:hanging="360"/>
      </w:pPr>
      <w:rPr>
        <w:rFonts w:ascii="Courier New" w:hAnsi="Courier New" w:cs="Courier New" w:hint="default"/>
      </w:rPr>
    </w:lvl>
    <w:lvl w:ilvl="5" w:tplc="04090005" w:tentative="1">
      <w:start w:val="1"/>
      <w:numFmt w:val="bullet"/>
      <w:lvlText w:val=""/>
      <w:lvlJc w:val="left"/>
      <w:pPr>
        <w:ind w:left="6512" w:hanging="360"/>
      </w:pPr>
      <w:rPr>
        <w:rFonts w:ascii="Wingdings" w:hAnsi="Wingdings" w:hint="default"/>
      </w:rPr>
    </w:lvl>
    <w:lvl w:ilvl="6" w:tplc="04090001" w:tentative="1">
      <w:start w:val="1"/>
      <w:numFmt w:val="bullet"/>
      <w:lvlText w:val=""/>
      <w:lvlJc w:val="left"/>
      <w:pPr>
        <w:ind w:left="7232" w:hanging="360"/>
      </w:pPr>
      <w:rPr>
        <w:rFonts w:ascii="Symbol" w:hAnsi="Symbol" w:hint="default"/>
      </w:rPr>
    </w:lvl>
    <w:lvl w:ilvl="7" w:tplc="04090003" w:tentative="1">
      <w:start w:val="1"/>
      <w:numFmt w:val="bullet"/>
      <w:lvlText w:val="o"/>
      <w:lvlJc w:val="left"/>
      <w:pPr>
        <w:ind w:left="7952" w:hanging="360"/>
      </w:pPr>
      <w:rPr>
        <w:rFonts w:ascii="Courier New" w:hAnsi="Courier New" w:cs="Courier New" w:hint="default"/>
      </w:rPr>
    </w:lvl>
    <w:lvl w:ilvl="8" w:tplc="04090005" w:tentative="1">
      <w:start w:val="1"/>
      <w:numFmt w:val="bullet"/>
      <w:lvlText w:val=""/>
      <w:lvlJc w:val="left"/>
      <w:pPr>
        <w:ind w:left="8672" w:hanging="360"/>
      </w:pPr>
      <w:rPr>
        <w:rFonts w:ascii="Wingdings" w:hAnsi="Wingdings" w:hint="default"/>
      </w:rPr>
    </w:lvl>
  </w:abstractNum>
  <w:abstractNum w:abstractNumId="31" w15:restartNumberingAfterBreak="0">
    <w:nsid w:val="72C96A0A"/>
    <w:multiLevelType w:val="hybridMultilevel"/>
    <w:tmpl w:val="A628DC24"/>
    <w:lvl w:ilvl="0" w:tplc="7D0EFA52">
      <w:start w:val="1"/>
      <w:numFmt w:val="upperRoman"/>
      <w:lvlText w:val="%1."/>
      <w:lvlJc w:val="left"/>
      <w:pPr>
        <w:ind w:left="1080" w:hanging="72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2" w15:restartNumberingAfterBreak="0">
    <w:nsid w:val="79602B83"/>
    <w:multiLevelType w:val="hybridMultilevel"/>
    <w:tmpl w:val="11B0D302"/>
    <w:lvl w:ilvl="0" w:tplc="CA884B74">
      <w:start w:val="1"/>
      <w:numFmt w:val="upperLetter"/>
      <w:lvlText w:val="%1."/>
      <w:lvlJc w:val="left"/>
      <w:pPr>
        <w:ind w:left="907" w:hanging="360"/>
      </w:pPr>
      <w:rPr>
        <w:rFonts w:hint="default"/>
      </w:rPr>
    </w:lvl>
    <w:lvl w:ilvl="1" w:tplc="08070019" w:tentative="1">
      <w:start w:val="1"/>
      <w:numFmt w:val="lowerLetter"/>
      <w:lvlText w:val="%2."/>
      <w:lvlJc w:val="left"/>
      <w:pPr>
        <w:ind w:left="1627" w:hanging="360"/>
      </w:pPr>
    </w:lvl>
    <w:lvl w:ilvl="2" w:tplc="0807001B" w:tentative="1">
      <w:start w:val="1"/>
      <w:numFmt w:val="lowerRoman"/>
      <w:lvlText w:val="%3."/>
      <w:lvlJc w:val="right"/>
      <w:pPr>
        <w:ind w:left="2347" w:hanging="180"/>
      </w:pPr>
    </w:lvl>
    <w:lvl w:ilvl="3" w:tplc="0807000F" w:tentative="1">
      <w:start w:val="1"/>
      <w:numFmt w:val="decimal"/>
      <w:lvlText w:val="%4."/>
      <w:lvlJc w:val="left"/>
      <w:pPr>
        <w:ind w:left="3067" w:hanging="360"/>
      </w:pPr>
    </w:lvl>
    <w:lvl w:ilvl="4" w:tplc="08070019" w:tentative="1">
      <w:start w:val="1"/>
      <w:numFmt w:val="lowerLetter"/>
      <w:lvlText w:val="%5."/>
      <w:lvlJc w:val="left"/>
      <w:pPr>
        <w:ind w:left="3787" w:hanging="360"/>
      </w:pPr>
    </w:lvl>
    <w:lvl w:ilvl="5" w:tplc="0807001B" w:tentative="1">
      <w:start w:val="1"/>
      <w:numFmt w:val="lowerRoman"/>
      <w:lvlText w:val="%6."/>
      <w:lvlJc w:val="right"/>
      <w:pPr>
        <w:ind w:left="4507" w:hanging="180"/>
      </w:pPr>
    </w:lvl>
    <w:lvl w:ilvl="6" w:tplc="0807000F" w:tentative="1">
      <w:start w:val="1"/>
      <w:numFmt w:val="decimal"/>
      <w:lvlText w:val="%7."/>
      <w:lvlJc w:val="left"/>
      <w:pPr>
        <w:ind w:left="5227" w:hanging="360"/>
      </w:pPr>
    </w:lvl>
    <w:lvl w:ilvl="7" w:tplc="08070019" w:tentative="1">
      <w:start w:val="1"/>
      <w:numFmt w:val="lowerLetter"/>
      <w:lvlText w:val="%8."/>
      <w:lvlJc w:val="left"/>
      <w:pPr>
        <w:ind w:left="5947" w:hanging="360"/>
      </w:pPr>
    </w:lvl>
    <w:lvl w:ilvl="8" w:tplc="0807001B" w:tentative="1">
      <w:start w:val="1"/>
      <w:numFmt w:val="lowerRoman"/>
      <w:lvlText w:val="%9."/>
      <w:lvlJc w:val="right"/>
      <w:pPr>
        <w:ind w:left="6667" w:hanging="180"/>
      </w:pPr>
    </w:lvl>
  </w:abstractNum>
  <w:num w:numId="1" w16cid:durableId="1747535909">
    <w:abstractNumId w:val="24"/>
  </w:num>
  <w:num w:numId="2" w16cid:durableId="785079326">
    <w:abstractNumId w:val="12"/>
  </w:num>
  <w:num w:numId="3" w16cid:durableId="744642936">
    <w:abstractNumId w:val="14"/>
  </w:num>
  <w:num w:numId="4" w16cid:durableId="1834567509">
    <w:abstractNumId w:val="9"/>
  </w:num>
  <w:num w:numId="5" w16cid:durableId="368261177">
    <w:abstractNumId w:val="7"/>
  </w:num>
  <w:num w:numId="6" w16cid:durableId="1669287910">
    <w:abstractNumId w:val="6"/>
  </w:num>
  <w:num w:numId="7" w16cid:durableId="879711092">
    <w:abstractNumId w:val="5"/>
  </w:num>
  <w:num w:numId="8" w16cid:durableId="314142413">
    <w:abstractNumId w:val="4"/>
  </w:num>
  <w:num w:numId="9" w16cid:durableId="1850019709">
    <w:abstractNumId w:val="8"/>
  </w:num>
  <w:num w:numId="10" w16cid:durableId="1063866862">
    <w:abstractNumId w:val="3"/>
  </w:num>
  <w:num w:numId="11" w16cid:durableId="1848902521">
    <w:abstractNumId w:val="2"/>
  </w:num>
  <w:num w:numId="12" w16cid:durableId="136607681">
    <w:abstractNumId w:val="1"/>
  </w:num>
  <w:num w:numId="13" w16cid:durableId="1628657606">
    <w:abstractNumId w:val="0"/>
  </w:num>
  <w:num w:numId="14" w16cid:durableId="383454162">
    <w:abstractNumId w:val="10"/>
  </w:num>
  <w:num w:numId="15" w16cid:durableId="1915774330">
    <w:abstractNumId w:val="29"/>
  </w:num>
  <w:num w:numId="16" w16cid:durableId="1239831081">
    <w:abstractNumId w:val="25"/>
  </w:num>
  <w:num w:numId="17" w16cid:durableId="1364357394">
    <w:abstractNumId w:val="23"/>
  </w:num>
  <w:num w:numId="18" w16cid:durableId="1731997069">
    <w:abstractNumId w:val="20"/>
  </w:num>
  <w:num w:numId="19" w16cid:durableId="997196433">
    <w:abstractNumId w:val="30"/>
  </w:num>
  <w:num w:numId="20" w16cid:durableId="1588415928">
    <w:abstractNumId w:val="21"/>
  </w:num>
  <w:num w:numId="21" w16cid:durableId="1016419388">
    <w:abstractNumId w:val="12"/>
  </w:num>
  <w:num w:numId="22" w16cid:durableId="294680161">
    <w:abstractNumId w:val="12"/>
  </w:num>
  <w:num w:numId="23" w16cid:durableId="2051955620">
    <w:abstractNumId w:val="30"/>
  </w:num>
  <w:num w:numId="24" w16cid:durableId="1483040572">
    <w:abstractNumId w:val="31"/>
  </w:num>
  <w:num w:numId="25" w16cid:durableId="1031805489">
    <w:abstractNumId w:val="27"/>
  </w:num>
  <w:num w:numId="26" w16cid:durableId="984822936">
    <w:abstractNumId w:val="11"/>
  </w:num>
  <w:num w:numId="27" w16cid:durableId="1213731012">
    <w:abstractNumId w:val="32"/>
  </w:num>
  <w:num w:numId="28" w16cid:durableId="57481199">
    <w:abstractNumId w:val="26"/>
  </w:num>
  <w:num w:numId="29" w16cid:durableId="266237587">
    <w:abstractNumId w:val="19"/>
  </w:num>
  <w:num w:numId="30" w16cid:durableId="849683716">
    <w:abstractNumId w:val="18"/>
  </w:num>
  <w:num w:numId="31" w16cid:durableId="1215234399">
    <w:abstractNumId w:val="22"/>
  </w:num>
  <w:num w:numId="32" w16cid:durableId="642853191">
    <w:abstractNumId w:val="17"/>
  </w:num>
  <w:num w:numId="33" w16cid:durableId="426581106">
    <w:abstractNumId w:val="15"/>
  </w:num>
  <w:num w:numId="34" w16cid:durableId="2001155122">
    <w:abstractNumId w:val="13"/>
  </w:num>
  <w:num w:numId="35" w16cid:durableId="1999260571">
    <w:abstractNumId w:val="28"/>
  </w:num>
  <w:num w:numId="36" w16cid:durableId="126040449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saveSubsetFonts/>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de-DE" w:vendorID="64" w:dllVersion="4096" w:nlCheck="1" w:checkStyle="0"/>
  <w:activeWritingStyle w:appName="MSWord" w:lang="en-US" w:vendorID="64" w:dllVersion="4096" w:nlCheck="1" w:checkStyle="0"/>
  <w:activeWritingStyle w:appName="MSWord" w:lang="fr-FR" w:vendorID="64" w:dllVersion="4096" w:nlCheck="1" w:checkStyle="0"/>
  <w:activeWritingStyle w:appName="MSWord" w:lang="en-GB" w:vendorID="64" w:dllVersion="0" w:nlCheck="1" w:checkStyle="0"/>
  <w:activeWritingStyle w:appName="MSWord" w:lang="fr-CH" w:vendorID="64" w:dllVersion="0" w:nlCheck="1" w:checkStyle="0"/>
  <w:activeWritingStyle w:appName="MSWord" w:lang="en-US" w:vendorID="64" w:dllVersion="0" w:nlCheck="1" w:checkStyle="0"/>
  <w:activeWritingStyle w:appName="MSWord" w:lang="de-DE" w:vendorID="64" w:dllVersion="0" w:nlCheck="1" w:checkStyle="0"/>
  <w:activeWritingStyle w:appName="MSWord" w:lang="de-CH" w:vendorID="64" w:dllVersion="0" w:nlCheck="1" w:checkStyle="0"/>
  <w:activeWritingStyle w:appName="MSWord" w:lang="fr-FR" w:vendorID="64" w:dllVersion="0" w:nlCheck="1" w:checkStyle="0"/>
  <w:activeWritingStyle w:appName="MSWord" w:lang="it-IT" w:vendorID="64" w:dllVersion="0" w:nlCheck="1" w:checkStyle="0"/>
  <w:proofState w:spelling="clean" w:grammar="clean"/>
  <w:attachedTemplate r:id="rId1"/>
  <w:stylePaneFormatFilter w:val="3721" w:allStyles="1" w:customStyles="0" w:latentStyles="0" w:stylesInUse="0" w:headingStyles="1" w:numberingStyles="0" w:tableStyles="0" w:directFormattingOnRuns="1" w:directFormattingOnParagraphs="1" w:directFormattingOnNumbering="1" w:directFormattingOnTables="0" w:clearFormatting="1" w:top3HeadingStyles="1" w:visibleStyles="0" w:alternateStyleNames="0"/>
  <w:stylePaneSortMethod w:val="0000"/>
  <w:defaultTabStop w:val="357"/>
  <w:autoHyphenation/>
  <w:hyphenationZone w:val="425"/>
  <w:drawingGridHorizontalSpacing w:val="29"/>
  <w:drawingGridVerticalSpacing w:val="187"/>
  <w:displayHorizontalDrawingGridEvery w:val="2"/>
  <w:displayVerticalDrawingGridEvery w:val="2"/>
  <w:noPunctuationKerning/>
  <w:characterSpacingControl w:val="doNotCompress"/>
  <w:hdrShapeDefaults>
    <o:shapedefaults v:ext="edit" spidmax="2050"/>
  </w:hdrShapeDefaults>
  <w:footnotePr>
    <w:pos w:val="beneathText"/>
    <w:numFmt w:val="chicago"/>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325A"/>
    <w:rsid w:val="00000DB8"/>
    <w:rsid w:val="00002360"/>
    <w:rsid w:val="000030C7"/>
    <w:rsid w:val="00005A8F"/>
    <w:rsid w:val="00007CCD"/>
    <w:rsid w:val="00011BB2"/>
    <w:rsid w:val="000120AA"/>
    <w:rsid w:val="00012754"/>
    <w:rsid w:val="00013861"/>
    <w:rsid w:val="00013ABB"/>
    <w:rsid w:val="00013D04"/>
    <w:rsid w:val="00015650"/>
    <w:rsid w:val="000160F5"/>
    <w:rsid w:val="000179B6"/>
    <w:rsid w:val="00020432"/>
    <w:rsid w:val="0002257C"/>
    <w:rsid w:val="00022C65"/>
    <w:rsid w:val="00023333"/>
    <w:rsid w:val="00024E77"/>
    <w:rsid w:val="000259C8"/>
    <w:rsid w:val="000264AD"/>
    <w:rsid w:val="0003013A"/>
    <w:rsid w:val="000305F3"/>
    <w:rsid w:val="000312DC"/>
    <w:rsid w:val="000321B1"/>
    <w:rsid w:val="000322EF"/>
    <w:rsid w:val="000334AD"/>
    <w:rsid w:val="000339EC"/>
    <w:rsid w:val="000366BE"/>
    <w:rsid w:val="00040997"/>
    <w:rsid w:val="000409E3"/>
    <w:rsid w:val="00041FEC"/>
    <w:rsid w:val="000424B8"/>
    <w:rsid w:val="00042A9C"/>
    <w:rsid w:val="00042B73"/>
    <w:rsid w:val="00042D88"/>
    <w:rsid w:val="00043B99"/>
    <w:rsid w:val="000460AE"/>
    <w:rsid w:val="00046FE8"/>
    <w:rsid w:val="00047219"/>
    <w:rsid w:val="00050A30"/>
    <w:rsid w:val="00052CB4"/>
    <w:rsid w:val="000537F5"/>
    <w:rsid w:val="00053CF4"/>
    <w:rsid w:val="00056950"/>
    <w:rsid w:val="00056E9E"/>
    <w:rsid w:val="00060A1F"/>
    <w:rsid w:val="00061CC1"/>
    <w:rsid w:val="000634BB"/>
    <w:rsid w:val="000643D5"/>
    <w:rsid w:val="00066F1A"/>
    <w:rsid w:val="0006795E"/>
    <w:rsid w:val="00070532"/>
    <w:rsid w:val="00072FF4"/>
    <w:rsid w:val="000732A1"/>
    <w:rsid w:val="0007331E"/>
    <w:rsid w:val="00074291"/>
    <w:rsid w:val="00074A20"/>
    <w:rsid w:val="000752BF"/>
    <w:rsid w:val="0007678C"/>
    <w:rsid w:val="00076F9F"/>
    <w:rsid w:val="00081FD4"/>
    <w:rsid w:val="0008212B"/>
    <w:rsid w:val="000836F2"/>
    <w:rsid w:val="00083FA2"/>
    <w:rsid w:val="00084085"/>
    <w:rsid w:val="00084B2C"/>
    <w:rsid w:val="000859BC"/>
    <w:rsid w:val="000878ED"/>
    <w:rsid w:val="00087B99"/>
    <w:rsid w:val="00087D3D"/>
    <w:rsid w:val="00092076"/>
    <w:rsid w:val="000920EA"/>
    <w:rsid w:val="00093471"/>
    <w:rsid w:val="00094BA7"/>
    <w:rsid w:val="00096B6B"/>
    <w:rsid w:val="000974D8"/>
    <w:rsid w:val="000A1AED"/>
    <w:rsid w:val="000A1CA7"/>
    <w:rsid w:val="000A2162"/>
    <w:rsid w:val="000A2A9A"/>
    <w:rsid w:val="000A3C0A"/>
    <w:rsid w:val="000A6CCC"/>
    <w:rsid w:val="000A7737"/>
    <w:rsid w:val="000B037C"/>
    <w:rsid w:val="000B1371"/>
    <w:rsid w:val="000B1AE0"/>
    <w:rsid w:val="000B23B8"/>
    <w:rsid w:val="000B621F"/>
    <w:rsid w:val="000B7069"/>
    <w:rsid w:val="000B76E1"/>
    <w:rsid w:val="000B7796"/>
    <w:rsid w:val="000B7FB2"/>
    <w:rsid w:val="000C0A7E"/>
    <w:rsid w:val="000C1534"/>
    <w:rsid w:val="000C1815"/>
    <w:rsid w:val="000C27C1"/>
    <w:rsid w:val="000C30D3"/>
    <w:rsid w:val="000C4EAE"/>
    <w:rsid w:val="000C587F"/>
    <w:rsid w:val="000C7727"/>
    <w:rsid w:val="000C7DD5"/>
    <w:rsid w:val="000D0EE2"/>
    <w:rsid w:val="000D3DAF"/>
    <w:rsid w:val="000D4C5C"/>
    <w:rsid w:val="000D4D33"/>
    <w:rsid w:val="000D5377"/>
    <w:rsid w:val="000D6A43"/>
    <w:rsid w:val="000E0E16"/>
    <w:rsid w:val="000E1BEA"/>
    <w:rsid w:val="000E1EAA"/>
    <w:rsid w:val="000E28FD"/>
    <w:rsid w:val="000E309A"/>
    <w:rsid w:val="000E33E1"/>
    <w:rsid w:val="000E34D4"/>
    <w:rsid w:val="000E38F0"/>
    <w:rsid w:val="000E57D6"/>
    <w:rsid w:val="000E5C8A"/>
    <w:rsid w:val="000E6AE4"/>
    <w:rsid w:val="000E7615"/>
    <w:rsid w:val="000F17C5"/>
    <w:rsid w:val="000F18A9"/>
    <w:rsid w:val="000F1BAC"/>
    <w:rsid w:val="000F2CD9"/>
    <w:rsid w:val="000F3F19"/>
    <w:rsid w:val="000F51C5"/>
    <w:rsid w:val="000F5901"/>
    <w:rsid w:val="000F6832"/>
    <w:rsid w:val="001020F0"/>
    <w:rsid w:val="00103192"/>
    <w:rsid w:val="001035CD"/>
    <w:rsid w:val="00103ED1"/>
    <w:rsid w:val="001042DC"/>
    <w:rsid w:val="00104779"/>
    <w:rsid w:val="00104B6A"/>
    <w:rsid w:val="00105DF9"/>
    <w:rsid w:val="00106DCF"/>
    <w:rsid w:val="00107A4B"/>
    <w:rsid w:val="00110F99"/>
    <w:rsid w:val="00112CA3"/>
    <w:rsid w:val="00113B1E"/>
    <w:rsid w:val="00113EB7"/>
    <w:rsid w:val="001159A3"/>
    <w:rsid w:val="0011613C"/>
    <w:rsid w:val="0011668A"/>
    <w:rsid w:val="0011693D"/>
    <w:rsid w:val="00116CD3"/>
    <w:rsid w:val="00117DC0"/>
    <w:rsid w:val="001224C4"/>
    <w:rsid w:val="00123677"/>
    <w:rsid w:val="00126B6A"/>
    <w:rsid w:val="00126D0D"/>
    <w:rsid w:val="00127584"/>
    <w:rsid w:val="00127D11"/>
    <w:rsid w:val="00131CE7"/>
    <w:rsid w:val="00133F79"/>
    <w:rsid w:val="0013468C"/>
    <w:rsid w:val="00134CD6"/>
    <w:rsid w:val="00134D02"/>
    <w:rsid w:val="00137E9E"/>
    <w:rsid w:val="0014145F"/>
    <w:rsid w:val="00142809"/>
    <w:rsid w:val="00143DF6"/>
    <w:rsid w:val="001458AE"/>
    <w:rsid w:val="00147417"/>
    <w:rsid w:val="001517C2"/>
    <w:rsid w:val="0015344C"/>
    <w:rsid w:val="00154786"/>
    <w:rsid w:val="00154947"/>
    <w:rsid w:val="0015532B"/>
    <w:rsid w:val="001560E8"/>
    <w:rsid w:val="00157900"/>
    <w:rsid w:val="0016073A"/>
    <w:rsid w:val="0016080C"/>
    <w:rsid w:val="001615D1"/>
    <w:rsid w:val="00162067"/>
    <w:rsid w:val="0016245A"/>
    <w:rsid w:val="00162AC3"/>
    <w:rsid w:val="001630E8"/>
    <w:rsid w:val="00164A92"/>
    <w:rsid w:val="00164D8F"/>
    <w:rsid w:val="00165665"/>
    <w:rsid w:val="001663F5"/>
    <w:rsid w:val="00166737"/>
    <w:rsid w:val="001670AE"/>
    <w:rsid w:val="00171805"/>
    <w:rsid w:val="00171CB7"/>
    <w:rsid w:val="0017430F"/>
    <w:rsid w:val="00174DE4"/>
    <w:rsid w:val="00176A1A"/>
    <w:rsid w:val="00176ED5"/>
    <w:rsid w:val="00182024"/>
    <w:rsid w:val="001822D4"/>
    <w:rsid w:val="00183020"/>
    <w:rsid w:val="00183A3C"/>
    <w:rsid w:val="00184226"/>
    <w:rsid w:val="00193D45"/>
    <w:rsid w:val="00194003"/>
    <w:rsid w:val="001945E7"/>
    <w:rsid w:val="00195713"/>
    <w:rsid w:val="00196E50"/>
    <w:rsid w:val="00196E58"/>
    <w:rsid w:val="0019740F"/>
    <w:rsid w:val="00197BC0"/>
    <w:rsid w:val="00197F96"/>
    <w:rsid w:val="001A2A88"/>
    <w:rsid w:val="001A331E"/>
    <w:rsid w:val="001A4E1D"/>
    <w:rsid w:val="001A51A4"/>
    <w:rsid w:val="001A60B9"/>
    <w:rsid w:val="001A7620"/>
    <w:rsid w:val="001B0012"/>
    <w:rsid w:val="001B0226"/>
    <w:rsid w:val="001B051D"/>
    <w:rsid w:val="001B365D"/>
    <w:rsid w:val="001B3A18"/>
    <w:rsid w:val="001B4D9B"/>
    <w:rsid w:val="001B5738"/>
    <w:rsid w:val="001B78E7"/>
    <w:rsid w:val="001C1F72"/>
    <w:rsid w:val="001C4464"/>
    <w:rsid w:val="001C5655"/>
    <w:rsid w:val="001C5CB0"/>
    <w:rsid w:val="001C63B1"/>
    <w:rsid w:val="001C66E7"/>
    <w:rsid w:val="001C6FFE"/>
    <w:rsid w:val="001D11F9"/>
    <w:rsid w:val="001D1E2F"/>
    <w:rsid w:val="001D3157"/>
    <w:rsid w:val="001D3DEA"/>
    <w:rsid w:val="001D3F8F"/>
    <w:rsid w:val="001D4D72"/>
    <w:rsid w:val="001D51BA"/>
    <w:rsid w:val="001D589B"/>
    <w:rsid w:val="001D5B04"/>
    <w:rsid w:val="001D6284"/>
    <w:rsid w:val="001D6D53"/>
    <w:rsid w:val="001D72B1"/>
    <w:rsid w:val="001E08FF"/>
    <w:rsid w:val="001E1D9B"/>
    <w:rsid w:val="001E2D0A"/>
    <w:rsid w:val="001E455E"/>
    <w:rsid w:val="001E6281"/>
    <w:rsid w:val="001E66E4"/>
    <w:rsid w:val="001E74E2"/>
    <w:rsid w:val="001E78D7"/>
    <w:rsid w:val="001E7987"/>
    <w:rsid w:val="001F001B"/>
    <w:rsid w:val="001F0A73"/>
    <w:rsid w:val="001F0C48"/>
    <w:rsid w:val="001F345C"/>
    <w:rsid w:val="001F4998"/>
    <w:rsid w:val="001F4B40"/>
    <w:rsid w:val="001F5073"/>
    <w:rsid w:val="001F586F"/>
    <w:rsid w:val="001F5C87"/>
    <w:rsid w:val="001F5F92"/>
    <w:rsid w:val="001F62E5"/>
    <w:rsid w:val="001F7327"/>
    <w:rsid w:val="00200AA7"/>
    <w:rsid w:val="0020166C"/>
    <w:rsid w:val="00201BBF"/>
    <w:rsid w:val="00202CBF"/>
    <w:rsid w:val="00203434"/>
    <w:rsid w:val="002044BC"/>
    <w:rsid w:val="002107A5"/>
    <w:rsid w:val="0021334D"/>
    <w:rsid w:val="00221CA3"/>
    <w:rsid w:val="00221D8F"/>
    <w:rsid w:val="002220C1"/>
    <w:rsid w:val="002224FC"/>
    <w:rsid w:val="00222B2A"/>
    <w:rsid w:val="0022320C"/>
    <w:rsid w:val="002235B0"/>
    <w:rsid w:val="002241D5"/>
    <w:rsid w:val="00224DC7"/>
    <w:rsid w:val="0022653C"/>
    <w:rsid w:val="00227D24"/>
    <w:rsid w:val="00227F61"/>
    <w:rsid w:val="00230405"/>
    <w:rsid w:val="00230B0C"/>
    <w:rsid w:val="00230FD4"/>
    <w:rsid w:val="0023141B"/>
    <w:rsid w:val="00231EF7"/>
    <w:rsid w:val="00234D91"/>
    <w:rsid w:val="002350C2"/>
    <w:rsid w:val="0023626E"/>
    <w:rsid w:val="002363EF"/>
    <w:rsid w:val="00237FC9"/>
    <w:rsid w:val="00240B03"/>
    <w:rsid w:val="002425CA"/>
    <w:rsid w:val="002428E5"/>
    <w:rsid w:val="00242FEB"/>
    <w:rsid w:val="0024303B"/>
    <w:rsid w:val="00243C3F"/>
    <w:rsid w:val="00244E8F"/>
    <w:rsid w:val="002457DA"/>
    <w:rsid w:val="00246525"/>
    <w:rsid w:val="00246CC5"/>
    <w:rsid w:val="002479E5"/>
    <w:rsid w:val="00251BA1"/>
    <w:rsid w:val="00253001"/>
    <w:rsid w:val="00253F4C"/>
    <w:rsid w:val="00254135"/>
    <w:rsid w:val="0025422C"/>
    <w:rsid w:val="00255081"/>
    <w:rsid w:val="0025549D"/>
    <w:rsid w:val="002556B3"/>
    <w:rsid w:val="0025590B"/>
    <w:rsid w:val="00256197"/>
    <w:rsid w:val="00260AAD"/>
    <w:rsid w:val="00262CBB"/>
    <w:rsid w:val="00262E0B"/>
    <w:rsid w:val="00263536"/>
    <w:rsid w:val="0026362E"/>
    <w:rsid w:val="002642D5"/>
    <w:rsid w:val="0026595D"/>
    <w:rsid w:val="00272022"/>
    <w:rsid w:val="002742E8"/>
    <w:rsid w:val="002748A4"/>
    <w:rsid w:val="002755BF"/>
    <w:rsid w:val="002762A4"/>
    <w:rsid w:val="00276784"/>
    <w:rsid w:val="00276CD2"/>
    <w:rsid w:val="00280D5D"/>
    <w:rsid w:val="00281C35"/>
    <w:rsid w:val="0028217A"/>
    <w:rsid w:val="00282AE5"/>
    <w:rsid w:val="00283D3F"/>
    <w:rsid w:val="00284548"/>
    <w:rsid w:val="002847D7"/>
    <w:rsid w:val="00286352"/>
    <w:rsid w:val="002868F9"/>
    <w:rsid w:val="0029093A"/>
    <w:rsid w:val="00291902"/>
    <w:rsid w:val="00292CCB"/>
    <w:rsid w:val="00292E29"/>
    <w:rsid w:val="0029322D"/>
    <w:rsid w:val="00293AFA"/>
    <w:rsid w:val="00295768"/>
    <w:rsid w:val="002A0CAA"/>
    <w:rsid w:val="002A18A3"/>
    <w:rsid w:val="002A2611"/>
    <w:rsid w:val="002A3230"/>
    <w:rsid w:val="002A3595"/>
    <w:rsid w:val="002A4129"/>
    <w:rsid w:val="002A46F5"/>
    <w:rsid w:val="002A6CE3"/>
    <w:rsid w:val="002B0395"/>
    <w:rsid w:val="002B04DD"/>
    <w:rsid w:val="002B0565"/>
    <w:rsid w:val="002B19FB"/>
    <w:rsid w:val="002B1D09"/>
    <w:rsid w:val="002B20F6"/>
    <w:rsid w:val="002B3946"/>
    <w:rsid w:val="002B3C84"/>
    <w:rsid w:val="002B469D"/>
    <w:rsid w:val="002B4E01"/>
    <w:rsid w:val="002B5375"/>
    <w:rsid w:val="002B553F"/>
    <w:rsid w:val="002B5873"/>
    <w:rsid w:val="002B6C38"/>
    <w:rsid w:val="002B7CE7"/>
    <w:rsid w:val="002C1823"/>
    <w:rsid w:val="002C1B07"/>
    <w:rsid w:val="002C31F5"/>
    <w:rsid w:val="002C35E9"/>
    <w:rsid w:val="002C4825"/>
    <w:rsid w:val="002C6318"/>
    <w:rsid w:val="002C6448"/>
    <w:rsid w:val="002C75A7"/>
    <w:rsid w:val="002D0904"/>
    <w:rsid w:val="002D1CB7"/>
    <w:rsid w:val="002D2A47"/>
    <w:rsid w:val="002D4660"/>
    <w:rsid w:val="002D5D05"/>
    <w:rsid w:val="002D6CC9"/>
    <w:rsid w:val="002D7A70"/>
    <w:rsid w:val="002D7BCB"/>
    <w:rsid w:val="002E0A75"/>
    <w:rsid w:val="002E0CF5"/>
    <w:rsid w:val="002E1B10"/>
    <w:rsid w:val="002E2190"/>
    <w:rsid w:val="002E25B9"/>
    <w:rsid w:val="002E3804"/>
    <w:rsid w:val="002E3F0A"/>
    <w:rsid w:val="002E5CDE"/>
    <w:rsid w:val="002E70A7"/>
    <w:rsid w:val="002E7863"/>
    <w:rsid w:val="002E7FE6"/>
    <w:rsid w:val="002F19A4"/>
    <w:rsid w:val="002F33F6"/>
    <w:rsid w:val="002F3A5C"/>
    <w:rsid w:val="002F45E5"/>
    <w:rsid w:val="002F4F33"/>
    <w:rsid w:val="002F508E"/>
    <w:rsid w:val="002F62E4"/>
    <w:rsid w:val="002F64EC"/>
    <w:rsid w:val="002F7830"/>
    <w:rsid w:val="00300138"/>
    <w:rsid w:val="0030039F"/>
    <w:rsid w:val="003003BA"/>
    <w:rsid w:val="003017FB"/>
    <w:rsid w:val="00301DD7"/>
    <w:rsid w:val="003037CD"/>
    <w:rsid w:val="003059D4"/>
    <w:rsid w:val="0031045A"/>
    <w:rsid w:val="003109B7"/>
    <w:rsid w:val="00310C40"/>
    <w:rsid w:val="003122FA"/>
    <w:rsid w:val="00312824"/>
    <w:rsid w:val="00313673"/>
    <w:rsid w:val="00314DD8"/>
    <w:rsid w:val="00314E26"/>
    <w:rsid w:val="003204D7"/>
    <w:rsid w:val="00321034"/>
    <w:rsid w:val="00323071"/>
    <w:rsid w:val="0032719E"/>
    <w:rsid w:val="00327602"/>
    <w:rsid w:val="00327D81"/>
    <w:rsid w:val="003317EB"/>
    <w:rsid w:val="00331A83"/>
    <w:rsid w:val="00331CD9"/>
    <w:rsid w:val="00332624"/>
    <w:rsid w:val="00333224"/>
    <w:rsid w:val="003343FC"/>
    <w:rsid w:val="0033459F"/>
    <w:rsid w:val="00334AB8"/>
    <w:rsid w:val="00340CCD"/>
    <w:rsid w:val="003412C6"/>
    <w:rsid w:val="003444F4"/>
    <w:rsid w:val="003447C9"/>
    <w:rsid w:val="00344F25"/>
    <w:rsid w:val="00345660"/>
    <w:rsid w:val="00350940"/>
    <w:rsid w:val="00350D28"/>
    <w:rsid w:val="00350D8F"/>
    <w:rsid w:val="00351109"/>
    <w:rsid w:val="00351199"/>
    <w:rsid w:val="0035141C"/>
    <w:rsid w:val="003527FA"/>
    <w:rsid w:val="00353DD9"/>
    <w:rsid w:val="003552F3"/>
    <w:rsid w:val="00355963"/>
    <w:rsid w:val="00355ACD"/>
    <w:rsid w:val="00355B50"/>
    <w:rsid w:val="003574D8"/>
    <w:rsid w:val="0036194C"/>
    <w:rsid w:val="00362807"/>
    <w:rsid w:val="0036387E"/>
    <w:rsid w:val="00363A01"/>
    <w:rsid w:val="00363BCF"/>
    <w:rsid w:val="003642FD"/>
    <w:rsid w:val="00365AA7"/>
    <w:rsid w:val="00366861"/>
    <w:rsid w:val="0036730E"/>
    <w:rsid w:val="00367357"/>
    <w:rsid w:val="003677C2"/>
    <w:rsid w:val="00367B40"/>
    <w:rsid w:val="00370789"/>
    <w:rsid w:val="00370F22"/>
    <w:rsid w:val="00371999"/>
    <w:rsid w:val="00371C36"/>
    <w:rsid w:val="003723D1"/>
    <w:rsid w:val="00373450"/>
    <w:rsid w:val="00374198"/>
    <w:rsid w:val="00375CF3"/>
    <w:rsid w:val="003762B4"/>
    <w:rsid w:val="00376AE7"/>
    <w:rsid w:val="00376FE8"/>
    <w:rsid w:val="0037743E"/>
    <w:rsid w:val="0038147B"/>
    <w:rsid w:val="0038212A"/>
    <w:rsid w:val="00383DCE"/>
    <w:rsid w:val="00384037"/>
    <w:rsid w:val="00384EEC"/>
    <w:rsid w:val="00387534"/>
    <w:rsid w:val="00394F4B"/>
    <w:rsid w:val="003963BD"/>
    <w:rsid w:val="003A007C"/>
    <w:rsid w:val="003A1EC5"/>
    <w:rsid w:val="003A23AA"/>
    <w:rsid w:val="003A2652"/>
    <w:rsid w:val="003A2EA5"/>
    <w:rsid w:val="003A3EBD"/>
    <w:rsid w:val="003A40FD"/>
    <w:rsid w:val="003A575A"/>
    <w:rsid w:val="003A6D48"/>
    <w:rsid w:val="003A6E3C"/>
    <w:rsid w:val="003B0DBA"/>
    <w:rsid w:val="003B6127"/>
    <w:rsid w:val="003B6163"/>
    <w:rsid w:val="003B77D2"/>
    <w:rsid w:val="003B7853"/>
    <w:rsid w:val="003C0637"/>
    <w:rsid w:val="003C078A"/>
    <w:rsid w:val="003C1B1E"/>
    <w:rsid w:val="003C2B35"/>
    <w:rsid w:val="003C32E4"/>
    <w:rsid w:val="003C3928"/>
    <w:rsid w:val="003C3B01"/>
    <w:rsid w:val="003C450B"/>
    <w:rsid w:val="003C48EF"/>
    <w:rsid w:val="003C52DD"/>
    <w:rsid w:val="003C68AC"/>
    <w:rsid w:val="003C72D6"/>
    <w:rsid w:val="003D16E0"/>
    <w:rsid w:val="003D2EB6"/>
    <w:rsid w:val="003D489D"/>
    <w:rsid w:val="003D4B37"/>
    <w:rsid w:val="003D4DD7"/>
    <w:rsid w:val="003D5CFE"/>
    <w:rsid w:val="003D74E6"/>
    <w:rsid w:val="003D7F85"/>
    <w:rsid w:val="003E00D9"/>
    <w:rsid w:val="003E141A"/>
    <w:rsid w:val="003E150A"/>
    <w:rsid w:val="003E288F"/>
    <w:rsid w:val="003E38B5"/>
    <w:rsid w:val="003E3F97"/>
    <w:rsid w:val="003E4017"/>
    <w:rsid w:val="003E4735"/>
    <w:rsid w:val="003E54C6"/>
    <w:rsid w:val="003E57CE"/>
    <w:rsid w:val="003F0A23"/>
    <w:rsid w:val="003F0E17"/>
    <w:rsid w:val="003F141F"/>
    <w:rsid w:val="003F21B6"/>
    <w:rsid w:val="003F2BA9"/>
    <w:rsid w:val="003F3795"/>
    <w:rsid w:val="003F5483"/>
    <w:rsid w:val="003F64D5"/>
    <w:rsid w:val="003F68BB"/>
    <w:rsid w:val="003F6FFC"/>
    <w:rsid w:val="003F7D07"/>
    <w:rsid w:val="00401B05"/>
    <w:rsid w:val="0040273F"/>
    <w:rsid w:val="00402767"/>
    <w:rsid w:val="004047BC"/>
    <w:rsid w:val="00404A9C"/>
    <w:rsid w:val="00404AD2"/>
    <w:rsid w:val="0040535E"/>
    <w:rsid w:val="0040603C"/>
    <w:rsid w:val="00407053"/>
    <w:rsid w:val="00411394"/>
    <w:rsid w:val="0041146C"/>
    <w:rsid w:val="00411CBB"/>
    <w:rsid w:val="004125CD"/>
    <w:rsid w:val="00414073"/>
    <w:rsid w:val="004144EC"/>
    <w:rsid w:val="00414910"/>
    <w:rsid w:val="00415740"/>
    <w:rsid w:val="00415810"/>
    <w:rsid w:val="00415C65"/>
    <w:rsid w:val="00416283"/>
    <w:rsid w:val="00416AD7"/>
    <w:rsid w:val="004200D6"/>
    <w:rsid w:val="00422826"/>
    <w:rsid w:val="00423885"/>
    <w:rsid w:val="0042480A"/>
    <w:rsid w:val="00424847"/>
    <w:rsid w:val="004305F8"/>
    <w:rsid w:val="00430AC1"/>
    <w:rsid w:val="00431C40"/>
    <w:rsid w:val="0043724C"/>
    <w:rsid w:val="0044168C"/>
    <w:rsid w:val="0044185D"/>
    <w:rsid w:val="00441A6E"/>
    <w:rsid w:val="00442933"/>
    <w:rsid w:val="00442E1E"/>
    <w:rsid w:val="0044789D"/>
    <w:rsid w:val="00450CD1"/>
    <w:rsid w:val="00450DC3"/>
    <w:rsid w:val="00452051"/>
    <w:rsid w:val="00453A2E"/>
    <w:rsid w:val="00453F51"/>
    <w:rsid w:val="00455B7E"/>
    <w:rsid w:val="0045620C"/>
    <w:rsid w:val="004566EB"/>
    <w:rsid w:val="00456F32"/>
    <w:rsid w:val="004575E5"/>
    <w:rsid w:val="0045781D"/>
    <w:rsid w:val="00457859"/>
    <w:rsid w:val="00460114"/>
    <w:rsid w:val="00460AF5"/>
    <w:rsid w:val="004615E1"/>
    <w:rsid w:val="00464470"/>
    <w:rsid w:val="00464BC8"/>
    <w:rsid w:val="00466E34"/>
    <w:rsid w:val="00470285"/>
    <w:rsid w:val="0047099A"/>
    <w:rsid w:val="00470E6B"/>
    <w:rsid w:val="00471306"/>
    <w:rsid w:val="00472BC3"/>
    <w:rsid w:val="0047339A"/>
    <w:rsid w:val="00473552"/>
    <w:rsid w:val="004743BF"/>
    <w:rsid w:val="00475F14"/>
    <w:rsid w:val="00476DC6"/>
    <w:rsid w:val="004770FF"/>
    <w:rsid w:val="00481A7F"/>
    <w:rsid w:val="00482845"/>
    <w:rsid w:val="00482B6F"/>
    <w:rsid w:val="00482EFD"/>
    <w:rsid w:val="0048333D"/>
    <w:rsid w:val="00486398"/>
    <w:rsid w:val="00487324"/>
    <w:rsid w:val="00491F27"/>
    <w:rsid w:val="00492494"/>
    <w:rsid w:val="0049346D"/>
    <w:rsid w:val="00497920"/>
    <w:rsid w:val="00497C61"/>
    <w:rsid w:val="004A1546"/>
    <w:rsid w:val="004A222C"/>
    <w:rsid w:val="004A258F"/>
    <w:rsid w:val="004A2C07"/>
    <w:rsid w:val="004A3306"/>
    <w:rsid w:val="004A33B3"/>
    <w:rsid w:val="004A35EF"/>
    <w:rsid w:val="004A4144"/>
    <w:rsid w:val="004A4B23"/>
    <w:rsid w:val="004A7EC2"/>
    <w:rsid w:val="004B0E16"/>
    <w:rsid w:val="004B1914"/>
    <w:rsid w:val="004B3072"/>
    <w:rsid w:val="004B36AA"/>
    <w:rsid w:val="004C0E41"/>
    <w:rsid w:val="004C1887"/>
    <w:rsid w:val="004C2501"/>
    <w:rsid w:val="004C326F"/>
    <w:rsid w:val="004C32D9"/>
    <w:rsid w:val="004C3FA9"/>
    <w:rsid w:val="004C7805"/>
    <w:rsid w:val="004D0A4E"/>
    <w:rsid w:val="004D0F2E"/>
    <w:rsid w:val="004D15BD"/>
    <w:rsid w:val="004D19CA"/>
    <w:rsid w:val="004D2226"/>
    <w:rsid w:val="004D2909"/>
    <w:rsid w:val="004D3336"/>
    <w:rsid w:val="004D3B29"/>
    <w:rsid w:val="004D3D3F"/>
    <w:rsid w:val="004D5034"/>
    <w:rsid w:val="004D5B62"/>
    <w:rsid w:val="004D6982"/>
    <w:rsid w:val="004E2AE5"/>
    <w:rsid w:val="004E5C6D"/>
    <w:rsid w:val="004F1273"/>
    <w:rsid w:val="004F12E4"/>
    <w:rsid w:val="004F2A1D"/>
    <w:rsid w:val="004F3B40"/>
    <w:rsid w:val="004F3CBB"/>
    <w:rsid w:val="004F4079"/>
    <w:rsid w:val="004F42FD"/>
    <w:rsid w:val="004F4534"/>
    <w:rsid w:val="004F547B"/>
    <w:rsid w:val="004F6CCD"/>
    <w:rsid w:val="004F7C19"/>
    <w:rsid w:val="00500A60"/>
    <w:rsid w:val="00501337"/>
    <w:rsid w:val="00502B54"/>
    <w:rsid w:val="00502EEC"/>
    <w:rsid w:val="00503492"/>
    <w:rsid w:val="005050AC"/>
    <w:rsid w:val="0050557A"/>
    <w:rsid w:val="00506C6C"/>
    <w:rsid w:val="00506C77"/>
    <w:rsid w:val="00506D70"/>
    <w:rsid w:val="00510CEC"/>
    <w:rsid w:val="005113D5"/>
    <w:rsid w:val="00512817"/>
    <w:rsid w:val="00512D78"/>
    <w:rsid w:val="00513011"/>
    <w:rsid w:val="005144BD"/>
    <w:rsid w:val="0051464B"/>
    <w:rsid w:val="00515141"/>
    <w:rsid w:val="00515DB9"/>
    <w:rsid w:val="00517415"/>
    <w:rsid w:val="005179F9"/>
    <w:rsid w:val="00517BF7"/>
    <w:rsid w:val="00520CA8"/>
    <w:rsid w:val="00520F79"/>
    <w:rsid w:val="00521A1C"/>
    <w:rsid w:val="00521CFD"/>
    <w:rsid w:val="005231CD"/>
    <w:rsid w:val="0052322A"/>
    <w:rsid w:val="00523585"/>
    <w:rsid w:val="005242C1"/>
    <w:rsid w:val="00524A1C"/>
    <w:rsid w:val="00525695"/>
    <w:rsid w:val="0052645F"/>
    <w:rsid w:val="00527BC6"/>
    <w:rsid w:val="00530B5D"/>
    <w:rsid w:val="005323E9"/>
    <w:rsid w:val="00533A91"/>
    <w:rsid w:val="0053429F"/>
    <w:rsid w:val="0053537C"/>
    <w:rsid w:val="00536D1E"/>
    <w:rsid w:val="00541B68"/>
    <w:rsid w:val="00542290"/>
    <w:rsid w:val="00544051"/>
    <w:rsid w:val="00545331"/>
    <w:rsid w:val="00545728"/>
    <w:rsid w:val="005479A9"/>
    <w:rsid w:val="00550344"/>
    <w:rsid w:val="005503DC"/>
    <w:rsid w:val="00551C35"/>
    <w:rsid w:val="00552435"/>
    <w:rsid w:val="005528B0"/>
    <w:rsid w:val="0055295C"/>
    <w:rsid w:val="00553403"/>
    <w:rsid w:val="00553BF4"/>
    <w:rsid w:val="00555F5D"/>
    <w:rsid w:val="00556652"/>
    <w:rsid w:val="00556FE1"/>
    <w:rsid w:val="00557827"/>
    <w:rsid w:val="005610F8"/>
    <w:rsid w:val="005659FD"/>
    <w:rsid w:val="00567261"/>
    <w:rsid w:val="00570B74"/>
    <w:rsid w:val="00571023"/>
    <w:rsid w:val="00572472"/>
    <w:rsid w:val="00572584"/>
    <w:rsid w:val="0057326B"/>
    <w:rsid w:val="005732FB"/>
    <w:rsid w:val="00576825"/>
    <w:rsid w:val="00576E98"/>
    <w:rsid w:val="005779BE"/>
    <w:rsid w:val="00580129"/>
    <w:rsid w:val="00580935"/>
    <w:rsid w:val="005821D0"/>
    <w:rsid w:val="00582E23"/>
    <w:rsid w:val="00583248"/>
    <w:rsid w:val="005833BD"/>
    <w:rsid w:val="0058650E"/>
    <w:rsid w:val="00587206"/>
    <w:rsid w:val="005876F5"/>
    <w:rsid w:val="00587745"/>
    <w:rsid w:val="005901B7"/>
    <w:rsid w:val="005909C8"/>
    <w:rsid w:val="00590A04"/>
    <w:rsid w:val="0059178E"/>
    <w:rsid w:val="00591ABD"/>
    <w:rsid w:val="00592BE5"/>
    <w:rsid w:val="00597699"/>
    <w:rsid w:val="005A2BEC"/>
    <w:rsid w:val="005A33A3"/>
    <w:rsid w:val="005A75CB"/>
    <w:rsid w:val="005A7749"/>
    <w:rsid w:val="005B366B"/>
    <w:rsid w:val="005B4790"/>
    <w:rsid w:val="005B4C9F"/>
    <w:rsid w:val="005B67F9"/>
    <w:rsid w:val="005B7324"/>
    <w:rsid w:val="005C0C67"/>
    <w:rsid w:val="005C1983"/>
    <w:rsid w:val="005C3A2C"/>
    <w:rsid w:val="005C50D7"/>
    <w:rsid w:val="005C6A89"/>
    <w:rsid w:val="005C7091"/>
    <w:rsid w:val="005C7693"/>
    <w:rsid w:val="005C76DE"/>
    <w:rsid w:val="005C76FE"/>
    <w:rsid w:val="005D1220"/>
    <w:rsid w:val="005D1D59"/>
    <w:rsid w:val="005D3093"/>
    <w:rsid w:val="005D4B67"/>
    <w:rsid w:val="005D568C"/>
    <w:rsid w:val="005D61C7"/>
    <w:rsid w:val="005D707E"/>
    <w:rsid w:val="005E0D2F"/>
    <w:rsid w:val="005E1A41"/>
    <w:rsid w:val="005E24F7"/>
    <w:rsid w:val="005E25DC"/>
    <w:rsid w:val="005E2946"/>
    <w:rsid w:val="005E3090"/>
    <w:rsid w:val="005E4A9C"/>
    <w:rsid w:val="005E4B50"/>
    <w:rsid w:val="005E6C69"/>
    <w:rsid w:val="005E78D2"/>
    <w:rsid w:val="005F0334"/>
    <w:rsid w:val="005F038E"/>
    <w:rsid w:val="005F0A7A"/>
    <w:rsid w:val="005F1707"/>
    <w:rsid w:val="005F3CEA"/>
    <w:rsid w:val="005F43ED"/>
    <w:rsid w:val="005F458B"/>
    <w:rsid w:val="005F47DE"/>
    <w:rsid w:val="005F662C"/>
    <w:rsid w:val="005F66E9"/>
    <w:rsid w:val="005F6709"/>
    <w:rsid w:val="00601FCB"/>
    <w:rsid w:val="006036CE"/>
    <w:rsid w:val="00604280"/>
    <w:rsid w:val="00606BEA"/>
    <w:rsid w:val="00606C6C"/>
    <w:rsid w:val="006105D5"/>
    <w:rsid w:val="00610912"/>
    <w:rsid w:val="00610E67"/>
    <w:rsid w:val="0061123B"/>
    <w:rsid w:val="0061325A"/>
    <w:rsid w:val="0061379B"/>
    <w:rsid w:val="006173C4"/>
    <w:rsid w:val="00617974"/>
    <w:rsid w:val="006215ED"/>
    <w:rsid w:val="00621BD3"/>
    <w:rsid w:val="0062238D"/>
    <w:rsid w:val="0062272E"/>
    <w:rsid w:val="006227CD"/>
    <w:rsid w:val="00622E8D"/>
    <w:rsid w:val="0062395B"/>
    <w:rsid w:val="00624C91"/>
    <w:rsid w:val="00625DAF"/>
    <w:rsid w:val="0062615A"/>
    <w:rsid w:val="00626D18"/>
    <w:rsid w:val="00627BA3"/>
    <w:rsid w:val="00632B65"/>
    <w:rsid w:val="006343AE"/>
    <w:rsid w:val="00637081"/>
    <w:rsid w:val="0063734F"/>
    <w:rsid w:val="00637F3F"/>
    <w:rsid w:val="0064089E"/>
    <w:rsid w:val="006414A0"/>
    <w:rsid w:val="00642B5B"/>
    <w:rsid w:val="00643762"/>
    <w:rsid w:val="0064388E"/>
    <w:rsid w:val="0064508A"/>
    <w:rsid w:val="00647CEC"/>
    <w:rsid w:val="00647E18"/>
    <w:rsid w:val="00651D71"/>
    <w:rsid w:val="00651FDC"/>
    <w:rsid w:val="00652274"/>
    <w:rsid w:val="0065308E"/>
    <w:rsid w:val="0065398E"/>
    <w:rsid w:val="00653993"/>
    <w:rsid w:val="00653B25"/>
    <w:rsid w:val="00654562"/>
    <w:rsid w:val="00654E25"/>
    <w:rsid w:val="006560C3"/>
    <w:rsid w:val="00656A37"/>
    <w:rsid w:val="00657105"/>
    <w:rsid w:val="006579D0"/>
    <w:rsid w:val="00657A8B"/>
    <w:rsid w:val="00657BC8"/>
    <w:rsid w:val="006603C3"/>
    <w:rsid w:val="006604BF"/>
    <w:rsid w:val="006606AB"/>
    <w:rsid w:val="00661EDB"/>
    <w:rsid w:val="00662037"/>
    <w:rsid w:val="006622F4"/>
    <w:rsid w:val="00662324"/>
    <w:rsid w:val="00662C6C"/>
    <w:rsid w:val="00663DED"/>
    <w:rsid w:val="00663FAF"/>
    <w:rsid w:val="006661AC"/>
    <w:rsid w:val="00666FD0"/>
    <w:rsid w:val="0066784C"/>
    <w:rsid w:val="006707B0"/>
    <w:rsid w:val="006708F1"/>
    <w:rsid w:val="006719E2"/>
    <w:rsid w:val="00671A37"/>
    <w:rsid w:val="00673265"/>
    <w:rsid w:val="00676CF6"/>
    <w:rsid w:val="006773E4"/>
    <w:rsid w:val="00677FB2"/>
    <w:rsid w:val="00681148"/>
    <w:rsid w:val="006811B5"/>
    <w:rsid w:val="00683E11"/>
    <w:rsid w:val="00684271"/>
    <w:rsid w:val="006845B5"/>
    <w:rsid w:val="00684E2F"/>
    <w:rsid w:val="006854AF"/>
    <w:rsid w:val="00686B02"/>
    <w:rsid w:val="0068742C"/>
    <w:rsid w:val="006904F8"/>
    <w:rsid w:val="006907B3"/>
    <w:rsid w:val="00691AD8"/>
    <w:rsid w:val="00691DC6"/>
    <w:rsid w:val="006923BF"/>
    <w:rsid w:val="006926F9"/>
    <w:rsid w:val="00692879"/>
    <w:rsid w:val="006938E2"/>
    <w:rsid w:val="00693E12"/>
    <w:rsid w:val="00694A77"/>
    <w:rsid w:val="00695DAC"/>
    <w:rsid w:val="006970C6"/>
    <w:rsid w:val="006975B2"/>
    <w:rsid w:val="006A095B"/>
    <w:rsid w:val="006A11F7"/>
    <w:rsid w:val="006A5987"/>
    <w:rsid w:val="006A69B9"/>
    <w:rsid w:val="006A6BB6"/>
    <w:rsid w:val="006A769B"/>
    <w:rsid w:val="006A7B01"/>
    <w:rsid w:val="006B2C1F"/>
    <w:rsid w:val="006B2DBB"/>
    <w:rsid w:val="006B3194"/>
    <w:rsid w:val="006B3434"/>
    <w:rsid w:val="006B5432"/>
    <w:rsid w:val="006B5A1B"/>
    <w:rsid w:val="006B7AAA"/>
    <w:rsid w:val="006B7CC9"/>
    <w:rsid w:val="006B7D45"/>
    <w:rsid w:val="006C0462"/>
    <w:rsid w:val="006C09EF"/>
    <w:rsid w:val="006C117D"/>
    <w:rsid w:val="006C1A14"/>
    <w:rsid w:val="006C2142"/>
    <w:rsid w:val="006C29FA"/>
    <w:rsid w:val="006C3F6B"/>
    <w:rsid w:val="006C4610"/>
    <w:rsid w:val="006C58CD"/>
    <w:rsid w:val="006C6043"/>
    <w:rsid w:val="006C7DD7"/>
    <w:rsid w:val="006D0719"/>
    <w:rsid w:val="006D1219"/>
    <w:rsid w:val="006D2065"/>
    <w:rsid w:val="006D274E"/>
    <w:rsid w:val="006D277F"/>
    <w:rsid w:val="006D53AF"/>
    <w:rsid w:val="006D5697"/>
    <w:rsid w:val="006D57AE"/>
    <w:rsid w:val="006E3B0F"/>
    <w:rsid w:val="006E5C40"/>
    <w:rsid w:val="006E765C"/>
    <w:rsid w:val="006E7851"/>
    <w:rsid w:val="006E7C52"/>
    <w:rsid w:val="006E7F7E"/>
    <w:rsid w:val="006F0BEB"/>
    <w:rsid w:val="006F1665"/>
    <w:rsid w:val="006F47EE"/>
    <w:rsid w:val="006F4E4B"/>
    <w:rsid w:val="006F51F0"/>
    <w:rsid w:val="006F5964"/>
    <w:rsid w:val="006F69A8"/>
    <w:rsid w:val="006F6BAA"/>
    <w:rsid w:val="006F761D"/>
    <w:rsid w:val="007036CC"/>
    <w:rsid w:val="00705910"/>
    <w:rsid w:val="00707E26"/>
    <w:rsid w:val="00720305"/>
    <w:rsid w:val="00721765"/>
    <w:rsid w:val="00722532"/>
    <w:rsid w:val="00722CBD"/>
    <w:rsid w:val="00722DEB"/>
    <w:rsid w:val="00723397"/>
    <w:rsid w:val="0072606E"/>
    <w:rsid w:val="00726191"/>
    <w:rsid w:val="007263D5"/>
    <w:rsid w:val="00726E9D"/>
    <w:rsid w:val="0072761B"/>
    <w:rsid w:val="0073170C"/>
    <w:rsid w:val="00731BA0"/>
    <w:rsid w:val="00733470"/>
    <w:rsid w:val="00733D2E"/>
    <w:rsid w:val="00735A5F"/>
    <w:rsid w:val="007362D9"/>
    <w:rsid w:val="00742DE6"/>
    <w:rsid w:val="0074384B"/>
    <w:rsid w:val="00744C99"/>
    <w:rsid w:val="007465F3"/>
    <w:rsid w:val="007469C1"/>
    <w:rsid w:val="007475BE"/>
    <w:rsid w:val="007478CB"/>
    <w:rsid w:val="0075081E"/>
    <w:rsid w:val="00753AE2"/>
    <w:rsid w:val="00754B26"/>
    <w:rsid w:val="0075529D"/>
    <w:rsid w:val="00755ABB"/>
    <w:rsid w:val="00756040"/>
    <w:rsid w:val="0075617C"/>
    <w:rsid w:val="007561DC"/>
    <w:rsid w:val="00757A7D"/>
    <w:rsid w:val="00757AFD"/>
    <w:rsid w:val="00761218"/>
    <w:rsid w:val="007623C6"/>
    <w:rsid w:val="00762482"/>
    <w:rsid w:val="00762813"/>
    <w:rsid w:val="00763D8D"/>
    <w:rsid w:val="00764F7F"/>
    <w:rsid w:val="00765020"/>
    <w:rsid w:val="00766AF3"/>
    <w:rsid w:val="007715C6"/>
    <w:rsid w:val="007719C2"/>
    <w:rsid w:val="00771B5C"/>
    <w:rsid w:val="00771E97"/>
    <w:rsid w:val="00771F99"/>
    <w:rsid w:val="007729C0"/>
    <w:rsid w:val="00774B5B"/>
    <w:rsid w:val="00775416"/>
    <w:rsid w:val="0077709B"/>
    <w:rsid w:val="00777415"/>
    <w:rsid w:val="00777FD0"/>
    <w:rsid w:val="0078021B"/>
    <w:rsid w:val="00781B9E"/>
    <w:rsid w:val="007828B2"/>
    <w:rsid w:val="00782F7A"/>
    <w:rsid w:val="00783F34"/>
    <w:rsid w:val="00784730"/>
    <w:rsid w:val="00784C60"/>
    <w:rsid w:val="0078789C"/>
    <w:rsid w:val="007904A9"/>
    <w:rsid w:val="0079217E"/>
    <w:rsid w:val="00793874"/>
    <w:rsid w:val="00793DE9"/>
    <w:rsid w:val="007942C8"/>
    <w:rsid w:val="00795808"/>
    <w:rsid w:val="0079597D"/>
    <w:rsid w:val="0079632F"/>
    <w:rsid w:val="00796AE6"/>
    <w:rsid w:val="007974D1"/>
    <w:rsid w:val="007A0FA6"/>
    <w:rsid w:val="007A12CA"/>
    <w:rsid w:val="007A308E"/>
    <w:rsid w:val="007A3099"/>
    <w:rsid w:val="007A3A4B"/>
    <w:rsid w:val="007A4573"/>
    <w:rsid w:val="007A4C37"/>
    <w:rsid w:val="007A4DE9"/>
    <w:rsid w:val="007A69EA"/>
    <w:rsid w:val="007B00CC"/>
    <w:rsid w:val="007B0E79"/>
    <w:rsid w:val="007B1409"/>
    <w:rsid w:val="007B1A5A"/>
    <w:rsid w:val="007B2A7A"/>
    <w:rsid w:val="007B4F29"/>
    <w:rsid w:val="007B50CC"/>
    <w:rsid w:val="007B5D6A"/>
    <w:rsid w:val="007B6878"/>
    <w:rsid w:val="007B7D38"/>
    <w:rsid w:val="007C3FB8"/>
    <w:rsid w:val="007C4BE1"/>
    <w:rsid w:val="007C5FC3"/>
    <w:rsid w:val="007C7402"/>
    <w:rsid w:val="007C765B"/>
    <w:rsid w:val="007D0E5D"/>
    <w:rsid w:val="007D1859"/>
    <w:rsid w:val="007D1B74"/>
    <w:rsid w:val="007D1D1F"/>
    <w:rsid w:val="007D1EB6"/>
    <w:rsid w:val="007D6EAE"/>
    <w:rsid w:val="007D73DE"/>
    <w:rsid w:val="007D75F4"/>
    <w:rsid w:val="007D78CF"/>
    <w:rsid w:val="007E02E6"/>
    <w:rsid w:val="007E2CD8"/>
    <w:rsid w:val="007E2F86"/>
    <w:rsid w:val="007E3E4D"/>
    <w:rsid w:val="007E40B4"/>
    <w:rsid w:val="007E4CC2"/>
    <w:rsid w:val="007E6292"/>
    <w:rsid w:val="007F0E02"/>
    <w:rsid w:val="007F1863"/>
    <w:rsid w:val="007F187C"/>
    <w:rsid w:val="007F248E"/>
    <w:rsid w:val="007F29FF"/>
    <w:rsid w:val="007F33E6"/>
    <w:rsid w:val="007F3EE0"/>
    <w:rsid w:val="007F49FE"/>
    <w:rsid w:val="007F51D4"/>
    <w:rsid w:val="007F6BAF"/>
    <w:rsid w:val="007F7397"/>
    <w:rsid w:val="007F7423"/>
    <w:rsid w:val="008001AA"/>
    <w:rsid w:val="00800210"/>
    <w:rsid w:val="00801CB2"/>
    <w:rsid w:val="00802734"/>
    <w:rsid w:val="008038A5"/>
    <w:rsid w:val="008039C4"/>
    <w:rsid w:val="00803C80"/>
    <w:rsid w:val="00803D7E"/>
    <w:rsid w:val="00803E7E"/>
    <w:rsid w:val="00803F35"/>
    <w:rsid w:val="0080588E"/>
    <w:rsid w:val="008104CC"/>
    <w:rsid w:val="0081054E"/>
    <w:rsid w:val="0081100E"/>
    <w:rsid w:val="008122C2"/>
    <w:rsid w:val="00813138"/>
    <w:rsid w:val="00813B47"/>
    <w:rsid w:val="00813FA8"/>
    <w:rsid w:val="00815922"/>
    <w:rsid w:val="00815DB3"/>
    <w:rsid w:val="00817A24"/>
    <w:rsid w:val="0082096E"/>
    <w:rsid w:val="00820E6D"/>
    <w:rsid w:val="0082143C"/>
    <w:rsid w:val="008214D7"/>
    <w:rsid w:val="00824115"/>
    <w:rsid w:val="00824252"/>
    <w:rsid w:val="00824F5B"/>
    <w:rsid w:val="0082594C"/>
    <w:rsid w:val="0082679D"/>
    <w:rsid w:val="00827624"/>
    <w:rsid w:val="00830C87"/>
    <w:rsid w:val="008312C6"/>
    <w:rsid w:val="00831FDA"/>
    <w:rsid w:val="0083221C"/>
    <w:rsid w:val="00832B1A"/>
    <w:rsid w:val="0083327C"/>
    <w:rsid w:val="00833A77"/>
    <w:rsid w:val="00833AF5"/>
    <w:rsid w:val="008363AB"/>
    <w:rsid w:val="00836743"/>
    <w:rsid w:val="0084230F"/>
    <w:rsid w:val="00842686"/>
    <w:rsid w:val="00844A34"/>
    <w:rsid w:val="00847A12"/>
    <w:rsid w:val="008513FD"/>
    <w:rsid w:val="00851F5E"/>
    <w:rsid w:val="00852BB7"/>
    <w:rsid w:val="00852CBA"/>
    <w:rsid w:val="008535DE"/>
    <w:rsid w:val="00855D8E"/>
    <w:rsid w:val="00857936"/>
    <w:rsid w:val="00861298"/>
    <w:rsid w:val="00864A05"/>
    <w:rsid w:val="00866AA1"/>
    <w:rsid w:val="00867735"/>
    <w:rsid w:val="00870DFC"/>
    <w:rsid w:val="008729D8"/>
    <w:rsid w:val="00872F5A"/>
    <w:rsid w:val="008733BF"/>
    <w:rsid w:val="008738F6"/>
    <w:rsid w:val="00874042"/>
    <w:rsid w:val="00874C1B"/>
    <w:rsid w:val="0087511D"/>
    <w:rsid w:val="00875D2B"/>
    <w:rsid w:val="00876D9F"/>
    <w:rsid w:val="0087761A"/>
    <w:rsid w:val="0088036E"/>
    <w:rsid w:val="00880E9F"/>
    <w:rsid w:val="00882414"/>
    <w:rsid w:val="00882B4F"/>
    <w:rsid w:val="00883C0B"/>
    <w:rsid w:val="00887CE3"/>
    <w:rsid w:val="008905D3"/>
    <w:rsid w:val="0089090A"/>
    <w:rsid w:val="00891323"/>
    <w:rsid w:val="008928FF"/>
    <w:rsid w:val="0089317D"/>
    <w:rsid w:val="008937E0"/>
    <w:rsid w:val="00895115"/>
    <w:rsid w:val="00895F27"/>
    <w:rsid w:val="008962AC"/>
    <w:rsid w:val="00896AEC"/>
    <w:rsid w:val="00897A88"/>
    <w:rsid w:val="00897D87"/>
    <w:rsid w:val="008A0059"/>
    <w:rsid w:val="008A01FD"/>
    <w:rsid w:val="008A0449"/>
    <w:rsid w:val="008A115C"/>
    <w:rsid w:val="008A2B11"/>
    <w:rsid w:val="008A2D01"/>
    <w:rsid w:val="008A3D9D"/>
    <w:rsid w:val="008A5300"/>
    <w:rsid w:val="008A7998"/>
    <w:rsid w:val="008B10C8"/>
    <w:rsid w:val="008B129E"/>
    <w:rsid w:val="008B1AA1"/>
    <w:rsid w:val="008B1F0F"/>
    <w:rsid w:val="008B389D"/>
    <w:rsid w:val="008B5BF7"/>
    <w:rsid w:val="008B5D52"/>
    <w:rsid w:val="008B7036"/>
    <w:rsid w:val="008B787D"/>
    <w:rsid w:val="008C0CDC"/>
    <w:rsid w:val="008C116F"/>
    <w:rsid w:val="008C1AA1"/>
    <w:rsid w:val="008C232F"/>
    <w:rsid w:val="008C2C45"/>
    <w:rsid w:val="008C430B"/>
    <w:rsid w:val="008D1188"/>
    <w:rsid w:val="008D2A83"/>
    <w:rsid w:val="008D3A85"/>
    <w:rsid w:val="008D3B96"/>
    <w:rsid w:val="008D3FC5"/>
    <w:rsid w:val="008D451B"/>
    <w:rsid w:val="008D6A08"/>
    <w:rsid w:val="008D7118"/>
    <w:rsid w:val="008D7956"/>
    <w:rsid w:val="008D7BA2"/>
    <w:rsid w:val="008E0616"/>
    <w:rsid w:val="008E0E20"/>
    <w:rsid w:val="008E11C3"/>
    <w:rsid w:val="008E288A"/>
    <w:rsid w:val="008E3DC1"/>
    <w:rsid w:val="008E54E5"/>
    <w:rsid w:val="008F11F0"/>
    <w:rsid w:val="008F2E6F"/>
    <w:rsid w:val="008F312D"/>
    <w:rsid w:val="008F5E79"/>
    <w:rsid w:val="008F62DA"/>
    <w:rsid w:val="008F65E7"/>
    <w:rsid w:val="008F6688"/>
    <w:rsid w:val="008F6E35"/>
    <w:rsid w:val="009001D5"/>
    <w:rsid w:val="00900521"/>
    <w:rsid w:val="00900BAA"/>
    <w:rsid w:val="009014E5"/>
    <w:rsid w:val="0090180F"/>
    <w:rsid w:val="009026BB"/>
    <w:rsid w:val="00903AC0"/>
    <w:rsid w:val="00905A3A"/>
    <w:rsid w:val="00907533"/>
    <w:rsid w:val="00910B4C"/>
    <w:rsid w:val="0091363D"/>
    <w:rsid w:val="00914423"/>
    <w:rsid w:val="00914B31"/>
    <w:rsid w:val="00914F8F"/>
    <w:rsid w:val="009155A1"/>
    <w:rsid w:val="0091644D"/>
    <w:rsid w:val="00917711"/>
    <w:rsid w:val="009201DC"/>
    <w:rsid w:val="0092085B"/>
    <w:rsid w:val="00920B92"/>
    <w:rsid w:val="009218D1"/>
    <w:rsid w:val="00923246"/>
    <w:rsid w:val="00923B09"/>
    <w:rsid w:val="00924524"/>
    <w:rsid w:val="00925D1D"/>
    <w:rsid w:val="009260D9"/>
    <w:rsid w:val="00927AF1"/>
    <w:rsid w:val="00927B05"/>
    <w:rsid w:val="00927E64"/>
    <w:rsid w:val="00934567"/>
    <w:rsid w:val="009375DB"/>
    <w:rsid w:val="00937B2F"/>
    <w:rsid w:val="00940F1B"/>
    <w:rsid w:val="00946F38"/>
    <w:rsid w:val="00947C91"/>
    <w:rsid w:val="009517E4"/>
    <w:rsid w:val="009527B2"/>
    <w:rsid w:val="00952A79"/>
    <w:rsid w:val="009556F2"/>
    <w:rsid w:val="00955811"/>
    <w:rsid w:val="009572F8"/>
    <w:rsid w:val="00957A19"/>
    <w:rsid w:val="00960A03"/>
    <w:rsid w:val="009623EA"/>
    <w:rsid w:val="00962BCB"/>
    <w:rsid w:val="00963032"/>
    <w:rsid w:val="00963151"/>
    <w:rsid w:val="00964360"/>
    <w:rsid w:val="00964B6F"/>
    <w:rsid w:val="00965890"/>
    <w:rsid w:val="00965CD1"/>
    <w:rsid w:val="00972675"/>
    <w:rsid w:val="0097334F"/>
    <w:rsid w:val="00973EE7"/>
    <w:rsid w:val="00974299"/>
    <w:rsid w:val="0097465B"/>
    <w:rsid w:val="00976935"/>
    <w:rsid w:val="00976955"/>
    <w:rsid w:val="00976EC6"/>
    <w:rsid w:val="00977213"/>
    <w:rsid w:val="00977FFC"/>
    <w:rsid w:val="00977FFE"/>
    <w:rsid w:val="00981024"/>
    <w:rsid w:val="009814C1"/>
    <w:rsid w:val="009839C0"/>
    <w:rsid w:val="00983E11"/>
    <w:rsid w:val="00983EC2"/>
    <w:rsid w:val="00986494"/>
    <w:rsid w:val="00986D0F"/>
    <w:rsid w:val="0098738F"/>
    <w:rsid w:val="00987871"/>
    <w:rsid w:val="009902A0"/>
    <w:rsid w:val="00990492"/>
    <w:rsid w:val="0099288F"/>
    <w:rsid w:val="00992B4F"/>
    <w:rsid w:val="00994DA3"/>
    <w:rsid w:val="00997E01"/>
    <w:rsid w:val="009A237A"/>
    <w:rsid w:val="009A311F"/>
    <w:rsid w:val="009A3B27"/>
    <w:rsid w:val="009A5EAE"/>
    <w:rsid w:val="009A75EB"/>
    <w:rsid w:val="009A7940"/>
    <w:rsid w:val="009A7D98"/>
    <w:rsid w:val="009B07B4"/>
    <w:rsid w:val="009B15A2"/>
    <w:rsid w:val="009B373D"/>
    <w:rsid w:val="009B3971"/>
    <w:rsid w:val="009B4326"/>
    <w:rsid w:val="009B4E11"/>
    <w:rsid w:val="009B6E2B"/>
    <w:rsid w:val="009B713A"/>
    <w:rsid w:val="009B7724"/>
    <w:rsid w:val="009C0B5A"/>
    <w:rsid w:val="009C10C2"/>
    <w:rsid w:val="009C1FF0"/>
    <w:rsid w:val="009C5CEC"/>
    <w:rsid w:val="009C5D88"/>
    <w:rsid w:val="009C73E4"/>
    <w:rsid w:val="009D099F"/>
    <w:rsid w:val="009D1438"/>
    <w:rsid w:val="009D1F01"/>
    <w:rsid w:val="009D2C7E"/>
    <w:rsid w:val="009D54BC"/>
    <w:rsid w:val="009D699F"/>
    <w:rsid w:val="009D6D99"/>
    <w:rsid w:val="009D701A"/>
    <w:rsid w:val="009D737B"/>
    <w:rsid w:val="009D7D20"/>
    <w:rsid w:val="009E006A"/>
    <w:rsid w:val="009E0CEA"/>
    <w:rsid w:val="009E2002"/>
    <w:rsid w:val="009E24BD"/>
    <w:rsid w:val="009E281A"/>
    <w:rsid w:val="009E43BE"/>
    <w:rsid w:val="009E48E0"/>
    <w:rsid w:val="009E4D78"/>
    <w:rsid w:val="009E6341"/>
    <w:rsid w:val="009E6644"/>
    <w:rsid w:val="009E7216"/>
    <w:rsid w:val="009E7CE2"/>
    <w:rsid w:val="009F04D2"/>
    <w:rsid w:val="009F06CD"/>
    <w:rsid w:val="009F1BEC"/>
    <w:rsid w:val="009F21A5"/>
    <w:rsid w:val="009F31A5"/>
    <w:rsid w:val="009F4794"/>
    <w:rsid w:val="009F5F17"/>
    <w:rsid w:val="009F69B8"/>
    <w:rsid w:val="00A0056F"/>
    <w:rsid w:val="00A006C4"/>
    <w:rsid w:val="00A00BB2"/>
    <w:rsid w:val="00A01265"/>
    <w:rsid w:val="00A01532"/>
    <w:rsid w:val="00A0171A"/>
    <w:rsid w:val="00A045D8"/>
    <w:rsid w:val="00A06B28"/>
    <w:rsid w:val="00A06E07"/>
    <w:rsid w:val="00A079D7"/>
    <w:rsid w:val="00A1115E"/>
    <w:rsid w:val="00A113C5"/>
    <w:rsid w:val="00A117E6"/>
    <w:rsid w:val="00A11860"/>
    <w:rsid w:val="00A119DE"/>
    <w:rsid w:val="00A11E42"/>
    <w:rsid w:val="00A133DA"/>
    <w:rsid w:val="00A1367E"/>
    <w:rsid w:val="00A14EA0"/>
    <w:rsid w:val="00A1537A"/>
    <w:rsid w:val="00A203D9"/>
    <w:rsid w:val="00A2164D"/>
    <w:rsid w:val="00A21E3E"/>
    <w:rsid w:val="00A22067"/>
    <w:rsid w:val="00A229F6"/>
    <w:rsid w:val="00A25940"/>
    <w:rsid w:val="00A27E50"/>
    <w:rsid w:val="00A27FB8"/>
    <w:rsid w:val="00A3303B"/>
    <w:rsid w:val="00A334B1"/>
    <w:rsid w:val="00A35069"/>
    <w:rsid w:val="00A350F0"/>
    <w:rsid w:val="00A35447"/>
    <w:rsid w:val="00A408AF"/>
    <w:rsid w:val="00A41153"/>
    <w:rsid w:val="00A41B01"/>
    <w:rsid w:val="00A428A9"/>
    <w:rsid w:val="00A4293B"/>
    <w:rsid w:val="00A43474"/>
    <w:rsid w:val="00A43529"/>
    <w:rsid w:val="00A4461D"/>
    <w:rsid w:val="00A450C6"/>
    <w:rsid w:val="00A45AC9"/>
    <w:rsid w:val="00A466EE"/>
    <w:rsid w:val="00A47B36"/>
    <w:rsid w:val="00A5111A"/>
    <w:rsid w:val="00A51CFD"/>
    <w:rsid w:val="00A53915"/>
    <w:rsid w:val="00A54024"/>
    <w:rsid w:val="00A5460F"/>
    <w:rsid w:val="00A61EFF"/>
    <w:rsid w:val="00A62D73"/>
    <w:rsid w:val="00A64C8E"/>
    <w:rsid w:val="00A7027C"/>
    <w:rsid w:val="00A70702"/>
    <w:rsid w:val="00A71731"/>
    <w:rsid w:val="00A71FBE"/>
    <w:rsid w:val="00A748B1"/>
    <w:rsid w:val="00A75079"/>
    <w:rsid w:val="00A772EC"/>
    <w:rsid w:val="00A81759"/>
    <w:rsid w:val="00A825FA"/>
    <w:rsid w:val="00A82CAE"/>
    <w:rsid w:val="00A83E3F"/>
    <w:rsid w:val="00A85461"/>
    <w:rsid w:val="00A91E1F"/>
    <w:rsid w:val="00A91FE6"/>
    <w:rsid w:val="00A92789"/>
    <w:rsid w:val="00A97E28"/>
    <w:rsid w:val="00AA0C0C"/>
    <w:rsid w:val="00AA1948"/>
    <w:rsid w:val="00AA2402"/>
    <w:rsid w:val="00AA378F"/>
    <w:rsid w:val="00AA3EDF"/>
    <w:rsid w:val="00AA3F56"/>
    <w:rsid w:val="00AA43E7"/>
    <w:rsid w:val="00AA4BA6"/>
    <w:rsid w:val="00AA4C01"/>
    <w:rsid w:val="00AA56E5"/>
    <w:rsid w:val="00AA67E5"/>
    <w:rsid w:val="00AB0584"/>
    <w:rsid w:val="00AB1310"/>
    <w:rsid w:val="00AB23C2"/>
    <w:rsid w:val="00AB2D00"/>
    <w:rsid w:val="00AB3409"/>
    <w:rsid w:val="00AB3AE8"/>
    <w:rsid w:val="00AB4461"/>
    <w:rsid w:val="00AB45C6"/>
    <w:rsid w:val="00AB4C0E"/>
    <w:rsid w:val="00AB4DCA"/>
    <w:rsid w:val="00AB578D"/>
    <w:rsid w:val="00AB5D1E"/>
    <w:rsid w:val="00AB615C"/>
    <w:rsid w:val="00AB6C76"/>
    <w:rsid w:val="00AB7A5E"/>
    <w:rsid w:val="00AC0124"/>
    <w:rsid w:val="00AC118A"/>
    <w:rsid w:val="00AC47F0"/>
    <w:rsid w:val="00AC5F9C"/>
    <w:rsid w:val="00AC75B9"/>
    <w:rsid w:val="00AD0D2A"/>
    <w:rsid w:val="00AD33D5"/>
    <w:rsid w:val="00AD5354"/>
    <w:rsid w:val="00AD583B"/>
    <w:rsid w:val="00AE0E3B"/>
    <w:rsid w:val="00AE1E3B"/>
    <w:rsid w:val="00AE2922"/>
    <w:rsid w:val="00AE536E"/>
    <w:rsid w:val="00AE5D8C"/>
    <w:rsid w:val="00AE6B2D"/>
    <w:rsid w:val="00AE755A"/>
    <w:rsid w:val="00AF06CB"/>
    <w:rsid w:val="00AF13C6"/>
    <w:rsid w:val="00AF1FB0"/>
    <w:rsid w:val="00AF250C"/>
    <w:rsid w:val="00AF2682"/>
    <w:rsid w:val="00AF3686"/>
    <w:rsid w:val="00AF5788"/>
    <w:rsid w:val="00AF6B2F"/>
    <w:rsid w:val="00AF78D0"/>
    <w:rsid w:val="00AF7F1A"/>
    <w:rsid w:val="00B00664"/>
    <w:rsid w:val="00B01ED7"/>
    <w:rsid w:val="00B02170"/>
    <w:rsid w:val="00B02E04"/>
    <w:rsid w:val="00B03D46"/>
    <w:rsid w:val="00B03D6B"/>
    <w:rsid w:val="00B06473"/>
    <w:rsid w:val="00B10A73"/>
    <w:rsid w:val="00B10B0D"/>
    <w:rsid w:val="00B10FAD"/>
    <w:rsid w:val="00B136C4"/>
    <w:rsid w:val="00B148D2"/>
    <w:rsid w:val="00B15750"/>
    <w:rsid w:val="00B17019"/>
    <w:rsid w:val="00B200C7"/>
    <w:rsid w:val="00B213D5"/>
    <w:rsid w:val="00B21606"/>
    <w:rsid w:val="00B216A3"/>
    <w:rsid w:val="00B229FB"/>
    <w:rsid w:val="00B23B2F"/>
    <w:rsid w:val="00B24904"/>
    <w:rsid w:val="00B25AC6"/>
    <w:rsid w:val="00B25FC2"/>
    <w:rsid w:val="00B27488"/>
    <w:rsid w:val="00B276F6"/>
    <w:rsid w:val="00B306F6"/>
    <w:rsid w:val="00B31463"/>
    <w:rsid w:val="00B32865"/>
    <w:rsid w:val="00B32C01"/>
    <w:rsid w:val="00B33853"/>
    <w:rsid w:val="00B338E2"/>
    <w:rsid w:val="00B33903"/>
    <w:rsid w:val="00B344C5"/>
    <w:rsid w:val="00B35064"/>
    <w:rsid w:val="00B352D0"/>
    <w:rsid w:val="00B35FEA"/>
    <w:rsid w:val="00B36423"/>
    <w:rsid w:val="00B36B46"/>
    <w:rsid w:val="00B36CDC"/>
    <w:rsid w:val="00B3744E"/>
    <w:rsid w:val="00B408F0"/>
    <w:rsid w:val="00B41F87"/>
    <w:rsid w:val="00B42430"/>
    <w:rsid w:val="00B43BEE"/>
    <w:rsid w:val="00B44760"/>
    <w:rsid w:val="00B47A0B"/>
    <w:rsid w:val="00B55255"/>
    <w:rsid w:val="00B554EE"/>
    <w:rsid w:val="00B55669"/>
    <w:rsid w:val="00B55671"/>
    <w:rsid w:val="00B55C0D"/>
    <w:rsid w:val="00B55DC7"/>
    <w:rsid w:val="00B56317"/>
    <w:rsid w:val="00B60E9C"/>
    <w:rsid w:val="00B61048"/>
    <w:rsid w:val="00B6184E"/>
    <w:rsid w:val="00B62B83"/>
    <w:rsid w:val="00B6364F"/>
    <w:rsid w:val="00B63797"/>
    <w:rsid w:val="00B67101"/>
    <w:rsid w:val="00B67111"/>
    <w:rsid w:val="00B67849"/>
    <w:rsid w:val="00B72EC3"/>
    <w:rsid w:val="00B7421D"/>
    <w:rsid w:val="00B75D5E"/>
    <w:rsid w:val="00B768A2"/>
    <w:rsid w:val="00B76A60"/>
    <w:rsid w:val="00B8184D"/>
    <w:rsid w:val="00B822B1"/>
    <w:rsid w:val="00B831FE"/>
    <w:rsid w:val="00B8372C"/>
    <w:rsid w:val="00B839D4"/>
    <w:rsid w:val="00B84D83"/>
    <w:rsid w:val="00B8679F"/>
    <w:rsid w:val="00B90B4B"/>
    <w:rsid w:val="00B90CFF"/>
    <w:rsid w:val="00B9283F"/>
    <w:rsid w:val="00B92E7E"/>
    <w:rsid w:val="00B92FF9"/>
    <w:rsid w:val="00B93AF2"/>
    <w:rsid w:val="00B94C4E"/>
    <w:rsid w:val="00B9547E"/>
    <w:rsid w:val="00B95B78"/>
    <w:rsid w:val="00B96BA2"/>
    <w:rsid w:val="00BA388E"/>
    <w:rsid w:val="00BA3C1C"/>
    <w:rsid w:val="00BA3F47"/>
    <w:rsid w:val="00BA703E"/>
    <w:rsid w:val="00BA7F22"/>
    <w:rsid w:val="00BB0C26"/>
    <w:rsid w:val="00BB1415"/>
    <w:rsid w:val="00BB2772"/>
    <w:rsid w:val="00BB3832"/>
    <w:rsid w:val="00BB528C"/>
    <w:rsid w:val="00BB6692"/>
    <w:rsid w:val="00BB682F"/>
    <w:rsid w:val="00BC1533"/>
    <w:rsid w:val="00BC19F7"/>
    <w:rsid w:val="00BC1AE4"/>
    <w:rsid w:val="00BC2D2E"/>
    <w:rsid w:val="00BC3587"/>
    <w:rsid w:val="00BC515F"/>
    <w:rsid w:val="00BC5D4F"/>
    <w:rsid w:val="00BC6316"/>
    <w:rsid w:val="00BC6AC0"/>
    <w:rsid w:val="00BC6BB4"/>
    <w:rsid w:val="00BC6C9C"/>
    <w:rsid w:val="00BD1F9A"/>
    <w:rsid w:val="00BD230A"/>
    <w:rsid w:val="00BD31E0"/>
    <w:rsid w:val="00BD33E5"/>
    <w:rsid w:val="00BD3545"/>
    <w:rsid w:val="00BD3885"/>
    <w:rsid w:val="00BD3942"/>
    <w:rsid w:val="00BD4BE7"/>
    <w:rsid w:val="00BD4E4E"/>
    <w:rsid w:val="00BD6458"/>
    <w:rsid w:val="00BD7A10"/>
    <w:rsid w:val="00BD7B61"/>
    <w:rsid w:val="00BE111C"/>
    <w:rsid w:val="00BE15FC"/>
    <w:rsid w:val="00BE216F"/>
    <w:rsid w:val="00BE2822"/>
    <w:rsid w:val="00BE4FF8"/>
    <w:rsid w:val="00BE535B"/>
    <w:rsid w:val="00BE6309"/>
    <w:rsid w:val="00BE725A"/>
    <w:rsid w:val="00BE75B9"/>
    <w:rsid w:val="00BF009B"/>
    <w:rsid w:val="00BF1717"/>
    <w:rsid w:val="00BF1E20"/>
    <w:rsid w:val="00BF3D8B"/>
    <w:rsid w:val="00BF4507"/>
    <w:rsid w:val="00BF4661"/>
    <w:rsid w:val="00BF4AC6"/>
    <w:rsid w:val="00BF58DC"/>
    <w:rsid w:val="00BF6602"/>
    <w:rsid w:val="00BF6981"/>
    <w:rsid w:val="00BF6F19"/>
    <w:rsid w:val="00BF7787"/>
    <w:rsid w:val="00C01462"/>
    <w:rsid w:val="00C04976"/>
    <w:rsid w:val="00C04E3C"/>
    <w:rsid w:val="00C052E4"/>
    <w:rsid w:val="00C05482"/>
    <w:rsid w:val="00C05AB5"/>
    <w:rsid w:val="00C065E7"/>
    <w:rsid w:val="00C07EFF"/>
    <w:rsid w:val="00C113BA"/>
    <w:rsid w:val="00C12DA9"/>
    <w:rsid w:val="00C1477B"/>
    <w:rsid w:val="00C148C2"/>
    <w:rsid w:val="00C14FC0"/>
    <w:rsid w:val="00C16CE0"/>
    <w:rsid w:val="00C20C44"/>
    <w:rsid w:val="00C21D8E"/>
    <w:rsid w:val="00C2471B"/>
    <w:rsid w:val="00C25466"/>
    <w:rsid w:val="00C2676C"/>
    <w:rsid w:val="00C26BA6"/>
    <w:rsid w:val="00C27851"/>
    <w:rsid w:val="00C30BEF"/>
    <w:rsid w:val="00C31214"/>
    <w:rsid w:val="00C31844"/>
    <w:rsid w:val="00C3272F"/>
    <w:rsid w:val="00C32C66"/>
    <w:rsid w:val="00C36E50"/>
    <w:rsid w:val="00C372EA"/>
    <w:rsid w:val="00C372F3"/>
    <w:rsid w:val="00C4064C"/>
    <w:rsid w:val="00C42D1C"/>
    <w:rsid w:val="00C4325D"/>
    <w:rsid w:val="00C4396F"/>
    <w:rsid w:val="00C43B14"/>
    <w:rsid w:val="00C43DCD"/>
    <w:rsid w:val="00C44C8A"/>
    <w:rsid w:val="00C452BE"/>
    <w:rsid w:val="00C4589F"/>
    <w:rsid w:val="00C45B42"/>
    <w:rsid w:val="00C50294"/>
    <w:rsid w:val="00C50B7C"/>
    <w:rsid w:val="00C51003"/>
    <w:rsid w:val="00C516CF"/>
    <w:rsid w:val="00C53798"/>
    <w:rsid w:val="00C54F4D"/>
    <w:rsid w:val="00C55673"/>
    <w:rsid w:val="00C56B32"/>
    <w:rsid w:val="00C56D80"/>
    <w:rsid w:val="00C571F6"/>
    <w:rsid w:val="00C57FF9"/>
    <w:rsid w:val="00C60E68"/>
    <w:rsid w:val="00C61320"/>
    <w:rsid w:val="00C642FD"/>
    <w:rsid w:val="00C647A0"/>
    <w:rsid w:val="00C65131"/>
    <w:rsid w:val="00C66836"/>
    <w:rsid w:val="00C66D60"/>
    <w:rsid w:val="00C67DF1"/>
    <w:rsid w:val="00C67EBC"/>
    <w:rsid w:val="00C7101F"/>
    <w:rsid w:val="00C713D8"/>
    <w:rsid w:val="00C717B1"/>
    <w:rsid w:val="00C718EF"/>
    <w:rsid w:val="00C721BF"/>
    <w:rsid w:val="00C72558"/>
    <w:rsid w:val="00C75A0E"/>
    <w:rsid w:val="00C75A8A"/>
    <w:rsid w:val="00C77048"/>
    <w:rsid w:val="00C770C3"/>
    <w:rsid w:val="00C807A7"/>
    <w:rsid w:val="00C8165F"/>
    <w:rsid w:val="00C81BD5"/>
    <w:rsid w:val="00C82AEC"/>
    <w:rsid w:val="00C82B94"/>
    <w:rsid w:val="00C82FF5"/>
    <w:rsid w:val="00C84C78"/>
    <w:rsid w:val="00C85844"/>
    <w:rsid w:val="00C863D8"/>
    <w:rsid w:val="00C871BB"/>
    <w:rsid w:val="00C9248C"/>
    <w:rsid w:val="00C93EDF"/>
    <w:rsid w:val="00C95F5D"/>
    <w:rsid w:val="00C97DE2"/>
    <w:rsid w:val="00C97DE3"/>
    <w:rsid w:val="00CA0E75"/>
    <w:rsid w:val="00CA3364"/>
    <w:rsid w:val="00CA3B19"/>
    <w:rsid w:val="00CA40CE"/>
    <w:rsid w:val="00CA421B"/>
    <w:rsid w:val="00CA4E6A"/>
    <w:rsid w:val="00CA5BB0"/>
    <w:rsid w:val="00CA75BE"/>
    <w:rsid w:val="00CA7673"/>
    <w:rsid w:val="00CA784D"/>
    <w:rsid w:val="00CB0AC3"/>
    <w:rsid w:val="00CB1935"/>
    <w:rsid w:val="00CB286A"/>
    <w:rsid w:val="00CB2F48"/>
    <w:rsid w:val="00CB38CE"/>
    <w:rsid w:val="00CB4DD7"/>
    <w:rsid w:val="00CB63EF"/>
    <w:rsid w:val="00CB692D"/>
    <w:rsid w:val="00CB6F54"/>
    <w:rsid w:val="00CB7450"/>
    <w:rsid w:val="00CB7FD5"/>
    <w:rsid w:val="00CC0AE4"/>
    <w:rsid w:val="00CC2149"/>
    <w:rsid w:val="00CC2CC1"/>
    <w:rsid w:val="00CC2FE5"/>
    <w:rsid w:val="00CC368E"/>
    <w:rsid w:val="00CC3983"/>
    <w:rsid w:val="00CC5888"/>
    <w:rsid w:val="00CC5BC8"/>
    <w:rsid w:val="00CC7234"/>
    <w:rsid w:val="00CD0DCF"/>
    <w:rsid w:val="00CD29F5"/>
    <w:rsid w:val="00CD2B1B"/>
    <w:rsid w:val="00CD344C"/>
    <w:rsid w:val="00CD41A2"/>
    <w:rsid w:val="00CD4200"/>
    <w:rsid w:val="00CD429D"/>
    <w:rsid w:val="00CD452D"/>
    <w:rsid w:val="00CD6261"/>
    <w:rsid w:val="00CD638B"/>
    <w:rsid w:val="00CD6A30"/>
    <w:rsid w:val="00CE0009"/>
    <w:rsid w:val="00CE1C1D"/>
    <w:rsid w:val="00CE1C98"/>
    <w:rsid w:val="00CE2302"/>
    <w:rsid w:val="00CE336B"/>
    <w:rsid w:val="00CE34C5"/>
    <w:rsid w:val="00CE35E5"/>
    <w:rsid w:val="00CE5874"/>
    <w:rsid w:val="00CE6848"/>
    <w:rsid w:val="00CE7F15"/>
    <w:rsid w:val="00CF04C1"/>
    <w:rsid w:val="00CF0982"/>
    <w:rsid w:val="00CF1F6F"/>
    <w:rsid w:val="00CF3543"/>
    <w:rsid w:val="00CF5342"/>
    <w:rsid w:val="00CF5ACB"/>
    <w:rsid w:val="00CF5D37"/>
    <w:rsid w:val="00CF6B39"/>
    <w:rsid w:val="00CF7529"/>
    <w:rsid w:val="00D0067C"/>
    <w:rsid w:val="00D00DBB"/>
    <w:rsid w:val="00D013AA"/>
    <w:rsid w:val="00D01A04"/>
    <w:rsid w:val="00D02203"/>
    <w:rsid w:val="00D0294D"/>
    <w:rsid w:val="00D033CA"/>
    <w:rsid w:val="00D035FB"/>
    <w:rsid w:val="00D051FA"/>
    <w:rsid w:val="00D0696A"/>
    <w:rsid w:val="00D07385"/>
    <w:rsid w:val="00D102E2"/>
    <w:rsid w:val="00D1193D"/>
    <w:rsid w:val="00D12DC3"/>
    <w:rsid w:val="00D12E26"/>
    <w:rsid w:val="00D13FAF"/>
    <w:rsid w:val="00D162A1"/>
    <w:rsid w:val="00D163E2"/>
    <w:rsid w:val="00D1643F"/>
    <w:rsid w:val="00D20260"/>
    <w:rsid w:val="00D210D0"/>
    <w:rsid w:val="00D2128F"/>
    <w:rsid w:val="00D21954"/>
    <w:rsid w:val="00D21F38"/>
    <w:rsid w:val="00D232F3"/>
    <w:rsid w:val="00D23453"/>
    <w:rsid w:val="00D234CE"/>
    <w:rsid w:val="00D248BD"/>
    <w:rsid w:val="00D26A66"/>
    <w:rsid w:val="00D30940"/>
    <w:rsid w:val="00D3270A"/>
    <w:rsid w:val="00D33A1E"/>
    <w:rsid w:val="00D34347"/>
    <w:rsid w:val="00D35381"/>
    <w:rsid w:val="00D35928"/>
    <w:rsid w:val="00D35D0A"/>
    <w:rsid w:val="00D40821"/>
    <w:rsid w:val="00D40F9E"/>
    <w:rsid w:val="00D41C5D"/>
    <w:rsid w:val="00D420DD"/>
    <w:rsid w:val="00D42CC7"/>
    <w:rsid w:val="00D45057"/>
    <w:rsid w:val="00D45A49"/>
    <w:rsid w:val="00D45FB9"/>
    <w:rsid w:val="00D523AF"/>
    <w:rsid w:val="00D52631"/>
    <w:rsid w:val="00D532DB"/>
    <w:rsid w:val="00D53C28"/>
    <w:rsid w:val="00D541A2"/>
    <w:rsid w:val="00D550FB"/>
    <w:rsid w:val="00D560A9"/>
    <w:rsid w:val="00D562E4"/>
    <w:rsid w:val="00D56B29"/>
    <w:rsid w:val="00D5752F"/>
    <w:rsid w:val="00D57C3C"/>
    <w:rsid w:val="00D57CCB"/>
    <w:rsid w:val="00D61B67"/>
    <w:rsid w:val="00D61B7C"/>
    <w:rsid w:val="00D6236A"/>
    <w:rsid w:val="00D6337B"/>
    <w:rsid w:val="00D647C0"/>
    <w:rsid w:val="00D648F4"/>
    <w:rsid w:val="00D64C5D"/>
    <w:rsid w:val="00D66829"/>
    <w:rsid w:val="00D67E87"/>
    <w:rsid w:val="00D7016D"/>
    <w:rsid w:val="00D71691"/>
    <w:rsid w:val="00D71C97"/>
    <w:rsid w:val="00D721B2"/>
    <w:rsid w:val="00D725BE"/>
    <w:rsid w:val="00D72D1B"/>
    <w:rsid w:val="00D747B7"/>
    <w:rsid w:val="00D7498C"/>
    <w:rsid w:val="00D75DE4"/>
    <w:rsid w:val="00D76CCD"/>
    <w:rsid w:val="00D776A8"/>
    <w:rsid w:val="00D77890"/>
    <w:rsid w:val="00D800B1"/>
    <w:rsid w:val="00D819C1"/>
    <w:rsid w:val="00D82CE4"/>
    <w:rsid w:val="00D82E38"/>
    <w:rsid w:val="00D82EF8"/>
    <w:rsid w:val="00D83F04"/>
    <w:rsid w:val="00D847C6"/>
    <w:rsid w:val="00D861AC"/>
    <w:rsid w:val="00D8627A"/>
    <w:rsid w:val="00D865B5"/>
    <w:rsid w:val="00D87216"/>
    <w:rsid w:val="00D87961"/>
    <w:rsid w:val="00D87962"/>
    <w:rsid w:val="00D90022"/>
    <w:rsid w:val="00D904A5"/>
    <w:rsid w:val="00D90734"/>
    <w:rsid w:val="00D913D6"/>
    <w:rsid w:val="00D91B03"/>
    <w:rsid w:val="00D92ABF"/>
    <w:rsid w:val="00D94099"/>
    <w:rsid w:val="00D945A5"/>
    <w:rsid w:val="00D95666"/>
    <w:rsid w:val="00D95FB4"/>
    <w:rsid w:val="00D97774"/>
    <w:rsid w:val="00D97F1E"/>
    <w:rsid w:val="00DA206C"/>
    <w:rsid w:val="00DA2890"/>
    <w:rsid w:val="00DA3212"/>
    <w:rsid w:val="00DA3960"/>
    <w:rsid w:val="00DA39D6"/>
    <w:rsid w:val="00DA4104"/>
    <w:rsid w:val="00DA4744"/>
    <w:rsid w:val="00DA491C"/>
    <w:rsid w:val="00DA555D"/>
    <w:rsid w:val="00DA70B3"/>
    <w:rsid w:val="00DA7988"/>
    <w:rsid w:val="00DB0B0F"/>
    <w:rsid w:val="00DB31D5"/>
    <w:rsid w:val="00DB32E6"/>
    <w:rsid w:val="00DB4528"/>
    <w:rsid w:val="00DB4575"/>
    <w:rsid w:val="00DB5524"/>
    <w:rsid w:val="00DB5F26"/>
    <w:rsid w:val="00DC1BA5"/>
    <w:rsid w:val="00DC2CA5"/>
    <w:rsid w:val="00DC47A9"/>
    <w:rsid w:val="00DC63AB"/>
    <w:rsid w:val="00DC7607"/>
    <w:rsid w:val="00DC7F0E"/>
    <w:rsid w:val="00DD195E"/>
    <w:rsid w:val="00DD25DC"/>
    <w:rsid w:val="00DD33B6"/>
    <w:rsid w:val="00DD369B"/>
    <w:rsid w:val="00DD40A6"/>
    <w:rsid w:val="00DD6FF2"/>
    <w:rsid w:val="00DD7556"/>
    <w:rsid w:val="00DE0A70"/>
    <w:rsid w:val="00DE0B8D"/>
    <w:rsid w:val="00DE0C05"/>
    <w:rsid w:val="00DE467B"/>
    <w:rsid w:val="00DE4FF7"/>
    <w:rsid w:val="00DE57E7"/>
    <w:rsid w:val="00DE6FE1"/>
    <w:rsid w:val="00DE7157"/>
    <w:rsid w:val="00DE79DC"/>
    <w:rsid w:val="00DF0C16"/>
    <w:rsid w:val="00DF3E5D"/>
    <w:rsid w:val="00DF4358"/>
    <w:rsid w:val="00DF4A01"/>
    <w:rsid w:val="00DF5D7A"/>
    <w:rsid w:val="00E001FC"/>
    <w:rsid w:val="00E0028F"/>
    <w:rsid w:val="00E020D7"/>
    <w:rsid w:val="00E025DF"/>
    <w:rsid w:val="00E02899"/>
    <w:rsid w:val="00E02B8C"/>
    <w:rsid w:val="00E03D4A"/>
    <w:rsid w:val="00E04EDE"/>
    <w:rsid w:val="00E05D08"/>
    <w:rsid w:val="00E0648B"/>
    <w:rsid w:val="00E07403"/>
    <w:rsid w:val="00E078C8"/>
    <w:rsid w:val="00E07AA2"/>
    <w:rsid w:val="00E1021D"/>
    <w:rsid w:val="00E105D7"/>
    <w:rsid w:val="00E12D2C"/>
    <w:rsid w:val="00E13566"/>
    <w:rsid w:val="00E16B1D"/>
    <w:rsid w:val="00E16E43"/>
    <w:rsid w:val="00E16EF7"/>
    <w:rsid w:val="00E16F1F"/>
    <w:rsid w:val="00E174DF"/>
    <w:rsid w:val="00E17BC6"/>
    <w:rsid w:val="00E21953"/>
    <w:rsid w:val="00E21BE5"/>
    <w:rsid w:val="00E23318"/>
    <w:rsid w:val="00E2366E"/>
    <w:rsid w:val="00E24CDF"/>
    <w:rsid w:val="00E24F33"/>
    <w:rsid w:val="00E25E8F"/>
    <w:rsid w:val="00E2743D"/>
    <w:rsid w:val="00E30B5F"/>
    <w:rsid w:val="00E32DB7"/>
    <w:rsid w:val="00E34510"/>
    <w:rsid w:val="00E35CDC"/>
    <w:rsid w:val="00E374CC"/>
    <w:rsid w:val="00E40EC4"/>
    <w:rsid w:val="00E40F29"/>
    <w:rsid w:val="00E41DE8"/>
    <w:rsid w:val="00E425BC"/>
    <w:rsid w:val="00E45E3B"/>
    <w:rsid w:val="00E47AD9"/>
    <w:rsid w:val="00E47E1F"/>
    <w:rsid w:val="00E50504"/>
    <w:rsid w:val="00E52C64"/>
    <w:rsid w:val="00E53CA4"/>
    <w:rsid w:val="00E55F06"/>
    <w:rsid w:val="00E564E4"/>
    <w:rsid w:val="00E5751A"/>
    <w:rsid w:val="00E57E46"/>
    <w:rsid w:val="00E61097"/>
    <w:rsid w:val="00E625DE"/>
    <w:rsid w:val="00E6310E"/>
    <w:rsid w:val="00E63E6B"/>
    <w:rsid w:val="00E640E1"/>
    <w:rsid w:val="00E647B4"/>
    <w:rsid w:val="00E64A78"/>
    <w:rsid w:val="00E65F5E"/>
    <w:rsid w:val="00E66603"/>
    <w:rsid w:val="00E67421"/>
    <w:rsid w:val="00E71FFB"/>
    <w:rsid w:val="00E80550"/>
    <w:rsid w:val="00E80FC0"/>
    <w:rsid w:val="00E81116"/>
    <w:rsid w:val="00E81AB3"/>
    <w:rsid w:val="00E81D00"/>
    <w:rsid w:val="00E843A1"/>
    <w:rsid w:val="00E84BFF"/>
    <w:rsid w:val="00E84E24"/>
    <w:rsid w:val="00E84EDE"/>
    <w:rsid w:val="00E854DE"/>
    <w:rsid w:val="00E865FA"/>
    <w:rsid w:val="00E8743D"/>
    <w:rsid w:val="00E932AE"/>
    <w:rsid w:val="00E9420C"/>
    <w:rsid w:val="00E94E86"/>
    <w:rsid w:val="00E95D09"/>
    <w:rsid w:val="00E95D30"/>
    <w:rsid w:val="00E96C69"/>
    <w:rsid w:val="00E9702F"/>
    <w:rsid w:val="00EA0689"/>
    <w:rsid w:val="00EA375C"/>
    <w:rsid w:val="00EA3A6F"/>
    <w:rsid w:val="00EA4070"/>
    <w:rsid w:val="00EA5E38"/>
    <w:rsid w:val="00EA76AF"/>
    <w:rsid w:val="00EA7B42"/>
    <w:rsid w:val="00EA7C43"/>
    <w:rsid w:val="00EB11A6"/>
    <w:rsid w:val="00EB1E89"/>
    <w:rsid w:val="00EB2881"/>
    <w:rsid w:val="00EB39BC"/>
    <w:rsid w:val="00EB5A45"/>
    <w:rsid w:val="00EB5CE3"/>
    <w:rsid w:val="00EB79C6"/>
    <w:rsid w:val="00EC0F16"/>
    <w:rsid w:val="00EC1781"/>
    <w:rsid w:val="00EC2E98"/>
    <w:rsid w:val="00EC372F"/>
    <w:rsid w:val="00EC40FE"/>
    <w:rsid w:val="00EC41FE"/>
    <w:rsid w:val="00EC4645"/>
    <w:rsid w:val="00EC54F6"/>
    <w:rsid w:val="00EC7233"/>
    <w:rsid w:val="00EC72E4"/>
    <w:rsid w:val="00EC74E3"/>
    <w:rsid w:val="00EC7D31"/>
    <w:rsid w:val="00ED1D15"/>
    <w:rsid w:val="00ED327C"/>
    <w:rsid w:val="00ED36AA"/>
    <w:rsid w:val="00ED493C"/>
    <w:rsid w:val="00ED597A"/>
    <w:rsid w:val="00ED5C9A"/>
    <w:rsid w:val="00ED6046"/>
    <w:rsid w:val="00ED68CD"/>
    <w:rsid w:val="00EE0E88"/>
    <w:rsid w:val="00EE4291"/>
    <w:rsid w:val="00EE677E"/>
    <w:rsid w:val="00EE7BBB"/>
    <w:rsid w:val="00EF30C8"/>
    <w:rsid w:val="00EF34C0"/>
    <w:rsid w:val="00EF5BB8"/>
    <w:rsid w:val="00EF5BE4"/>
    <w:rsid w:val="00EF634D"/>
    <w:rsid w:val="00EF6C7F"/>
    <w:rsid w:val="00EF70D5"/>
    <w:rsid w:val="00EF720C"/>
    <w:rsid w:val="00EF7D45"/>
    <w:rsid w:val="00F02C8C"/>
    <w:rsid w:val="00F043CC"/>
    <w:rsid w:val="00F04BA9"/>
    <w:rsid w:val="00F04C38"/>
    <w:rsid w:val="00F05597"/>
    <w:rsid w:val="00F05B5E"/>
    <w:rsid w:val="00F05D85"/>
    <w:rsid w:val="00F07C36"/>
    <w:rsid w:val="00F07EE3"/>
    <w:rsid w:val="00F1047B"/>
    <w:rsid w:val="00F11C2F"/>
    <w:rsid w:val="00F1203F"/>
    <w:rsid w:val="00F12E83"/>
    <w:rsid w:val="00F1399C"/>
    <w:rsid w:val="00F13E09"/>
    <w:rsid w:val="00F14C81"/>
    <w:rsid w:val="00F15484"/>
    <w:rsid w:val="00F1604C"/>
    <w:rsid w:val="00F16F7C"/>
    <w:rsid w:val="00F17556"/>
    <w:rsid w:val="00F17EAA"/>
    <w:rsid w:val="00F17F73"/>
    <w:rsid w:val="00F2419F"/>
    <w:rsid w:val="00F24688"/>
    <w:rsid w:val="00F25663"/>
    <w:rsid w:val="00F2614A"/>
    <w:rsid w:val="00F27907"/>
    <w:rsid w:val="00F307EA"/>
    <w:rsid w:val="00F319C6"/>
    <w:rsid w:val="00F32E9C"/>
    <w:rsid w:val="00F33483"/>
    <w:rsid w:val="00F33E51"/>
    <w:rsid w:val="00F347FB"/>
    <w:rsid w:val="00F358E1"/>
    <w:rsid w:val="00F36025"/>
    <w:rsid w:val="00F36561"/>
    <w:rsid w:val="00F365D7"/>
    <w:rsid w:val="00F40B7A"/>
    <w:rsid w:val="00F43B91"/>
    <w:rsid w:val="00F457D8"/>
    <w:rsid w:val="00F45F9F"/>
    <w:rsid w:val="00F4797F"/>
    <w:rsid w:val="00F50EB8"/>
    <w:rsid w:val="00F52361"/>
    <w:rsid w:val="00F5281D"/>
    <w:rsid w:val="00F531DD"/>
    <w:rsid w:val="00F53CDC"/>
    <w:rsid w:val="00F53E1C"/>
    <w:rsid w:val="00F54C9B"/>
    <w:rsid w:val="00F55469"/>
    <w:rsid w:val="00F558F0"/>
    <w:rsid w:val="00F55B14"/>
    <w:rsid w:val="00F61703"/>
    <w:rsid w:val="00F617EA"/>
    <w:rsid w:val="00F61D85"/>
    <w:rsid w:val="00F62B86"/>
    <w:rsid w:val="00F63E4F"/>
    <w:rsid w:val="00F64185"/>
    <w:rsid w:val="00F643FA"/>
    <w:rsid w:val="00F64FB1"/>
    <w:rsid w:val="00F67481"/>
    <w:rsid w:val="00F7048B"/>
    <w:rsid w:val="00F7072A"/>
    <w:rsid w:val="00F70937"/>
    <w:rsid w:val="00F7104A"/>
    <w:rsid w:val="00F71995"/>
    <w:rsid w:val="00F72342"/>
    <w:rsid w:val="00F723CD"/>
    <w:rsid w:val="00F72A55"/>
    <w:rsid w:val="00F73CB4"/>
    <w:rsid w:val="00F759BE"/>
    <w:rsid w:val="00F77502"/>
    <w:rsid w:val="00F801BC"/>
    <w:rsid w:val="00F811A3"/>
    <w:rsid w:val="00F81985"/>
    <w:rsid w:val="00F81C44"/>
    <w:rsid w:val="00F8230A"/>
    <w:rsid w:val="00F82D9C"/>
    <w:rsid w:val="00F84894"/>
    <w:rsid w:val="00F85667"/>
    <w:rsid w:val="00F864D2"/>
    <w:rsid w:val="00F865C3"/>
    <w:rsid w:val="00F9022B"/>
    <w:rsid w:val="00F9027D"/>
    <w:rsid w:val="00F9030A"/>
    <w:rsid w:val="00F9171F"/>
    <w:rsid w:val="00F923A0"/>
    <w:rsid w:val="00F92F88"/>
    <w:rsid w:val="00F94405"/>
    <w:rsid w:val="00F96BE6"/>
    <w:rsid w:val="00F97FBC"/>
    <w:rsid w:val="00FA0DCB"/>
    <w:rsid w:val="00FA2147"/>
    <w:rsid w:val="00FA2218"/>
    <w:rsid w:val="00FA39F9"/>
    <w:rsid w:val="00FA3D78"/>
    <w:rsid w:val="00FA4B60"/>
    <w:rsid w:val="00FA4DDF"/>
    <w:rsid w:val="00FA56CD"/>
    <w:rsid w:val="00FA7283"/>
    <w:rsid w:val="00FB19B2"/>
    <w:rsid w:val="00FB3F0F"/>
    <w:rsid w:val="00FB66BC"/>
    <w:rsid w:val="00FB6A28"/>
    <w:rsid w:val="00FB6EE1"/>
    <w:rsid w:val="00FB7909"/>
    <w:rsid w:val="00FC0187"/>
    <w:rsid w:val="00FC06C0"/>
    <w:rsid w:val="00FC2799"/>
    <w:rsid w:val="00FC2916"/>
    <w:rsid w:val="00FC324F"/>
    <w:rsid w:val="00FC3965"/>
    <w:rsid w:val="00FC3A79"/>
    <w:rsid w:val="00FC3E2C"/>
    <w:rsid w:val="00FC42DB"/>
    <w:rsid w:val="00FC4647"/>
    <w:rsid w:val="00FC539C"/>
    <w:rsid w:val="00FC6EF1"/>
    <w:rsid w:val="00FD0D74"/>
    <w:rsid w:val="00FD1B78"/>
    <w:rsid w:val="00FD1EE1"/>
    <w:rsid w:val="00FD2465"/>
    <w:rsid w:val="00FD2708"/>
    <w:rsid w:val="00FD3F5D"/>
    <w:rsid w:val="00FD4339"/>
    <w:rsid w:val="00FD4C31"/>
    <w:rsid w:val="00FD5592"/>
    <w:rsid w:val="00FD6D48"/>
    <w:rsid w:val="00FD6E53"/>
    <w:rsid w:val="00FD7A0F"/>
    <w:rsid w:val="00FE28BF"/>
    <w:rsid w:val="00FE3C74"/>
    <w:rsid w:val="00FE5ECA"/>
    <w:rsid w:val="00FE7080"/>
    <w:rsid w:val="00FE720F"/>
    <w:rsid w:val="00FF0608"/>
    <w:rsid w:val="00FF1E7B"/>
    <w:rsid w:val="00FF2526"/>
    <w:rsid w:val="00FF2DBB"/>
    <w:rsid w:val="00FF3024"/>
    <w:rsid w:val="00FF32C1"/>
    <w:rsid w:val="00FF382F"/>
    <w:rsid w:val="00FF4838"/>
    <w:rsid w:val="00FF4B82"/>
    <w:rsid w:val="00FF67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BCB2030"/>
  <w15:docId w15:val="{62BC1774-ADCD-4641-9FAA-10A1161A9C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qFormat="1"/>
    <w:lsdException w:name="Subtle Reference" w:qFormat="1"/>
    <w:lsdException w:name="Intense Reference" w:qFormat="1"/>
    <w:lsdException w:name="Book Title"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JACoW_Normal"/>
    <w:qFormat/>
    <w:rsid w:val="003C1B1E"/>
    <w:pPr>
      <w:keepNext/>
      <w:spacing w:before="20" w:after="20"/>
    </w:pPr>
    <w:rPr>
      <w:kern w:val="16"/>
      <w:szCs w:val="18"/>
      <w:lang w:val="en-GB"/>
    </w:rPr>
  </w:style>
  <w:style w:type="paragraph" w:styleId="Heading1">
    <w:name w:val="heading 1"/>
    <w:next w:val="JACoWAuthorList"/>
    <w:link w:val="Heading1Char"/>
    <w:uiPriority w:val="9"/>
    <w:qFormat/>
    <w:rsid w:val="00310C40"/>
    <w:pPr>
      <w:keepNext/>
      <w:spacing w:after="60"/>
      <w:jc w:val="center"/>
      <w:outlineLvl w:val="0"/>
    </w:pPr>
    <w:rPr>
      <w:rFonts w:cs="Arial"/>
      <w:b/>
      <w:bCs/>
      <w:caps/>
      <w:kern w:val="32"/>
      <w:sz w:val="28"/>
      <w:szCs w:val="32"/>
      <w:lang w:val="en-GB"/>
    </w:rPr>
  </w:style>
  <w:style w:type="paragraph" w:styleId="Heading2">
    <w:name w:val="heading 2"/>
    <w:next w:val="BodyTextIndent"/>
    <w:uiPriority w:val="99"/>
    <w:semiHidden/>
    <w:qFormat/>
    <w:rsid w:val="00310C40"/>
    <w:pPr>
      <w:keepNext/>
      <w:spacing w:before="240" w:after="60"/>
      <w:jc w:val="center"/>
      <w:outlineLvl w:val="1"/>
    </w:pPr>
    <w:rPr>
      <w:rFonts w:cs="Arial"/>
      <w:b/>
      <w:bCs/>
      <w:iCs/>
      <w:caps/>
      <w:kern w:val="16"/>
      <w:sz w:val="24"/>
      <w:szCs w:val="28"/>
      <w:lang w:val="en-GB"/>
    </w:rPr>
  </w:style>
  <w:style w:type="paragraph" w:styleId="Heading3">
    <w:name w:val="heading 3"/>
    <w:next w:val="BodyTextIndent"/>
    <w:uiPriority w:val="99"/>
    <w:semiHidden/>
    <w:qFormat/>
    <w:rsid w:val="00310C40"/>
    <w:pPr>
      <w:keepNext/>
      <w:spacing w:before="120" w:after="60"/>
      <w:outlineLvl w:val="2"/>
    </w:pPr>
    <w:rPr>
      <w:rFonts w:cs="Arial"/>
      <w:bCs/>
      <w:i/>
      <w:sz w:val="24"/>
      <w:szCs w:val="26"/>
      <w:lang w:val="en-GB"/>
    </w:rPr>
  </w:style>
  <w:style w:type="paragraph" w:styleId="Heading4">
    <w:name w:val="heading 4"/>
    <w:basedOn w:val="Normal"/>
    <w:next w:val="Normal"/>
    <w:link w:val="Heading4Char"/>
    <w:uiPriority w:val="9"/>
    <w:semiHidden/>
    <w:unhideWhenUsed/>
    <w:qFormat/>
    <w:rsid w:val="00310C40"/>
    <w:pPr>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310C40"/>
    <w:pPr>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310C40"/>
    <w:pPr>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310C40"/>
    <w:pPr>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10C40"/>
    <w:pPr>
      <w:keepLines/>
      <w:spacing w:before="200"/>
      <w:outlineLvl w:val="7"/>
    </w:pPr>
    <w:rPr>
      <w:rFonts w:asciiTheme="majorHAnsi" w:eastAsiaTheme="majorEastAsia" w:hAnsiTheme="majorHAnsi" w:cstheme="majorBidi"/>
      <w:color w:val="404040" w:themeColor="text1" w:themeTint="BF"/>
      <w:szCs w:val="20"/>
    </w:rPr>
  </w:style>
  <w:style w:type="paragraph" w:styleId="Heading9">
    <w:name w:val="heading 9"/>
    <w:basedOn w:val="Normal"/>
    <w:next w:val="Normal"/>
    <w:link w:val="Heading9Char"/>
    <w:uiPriority w:val="9"/>
    <w:semiHidden/>
    <w:unhideWhenUsed/>
    <w:qFormat/>
    <w:rsid w:val="00310C40"/>
    <w:pPr>
      <w:keepLines/>
      <w:spacing w:before="200"/>
      <w:outlineLvl w:val="8"/>
    </w:pPr>
    <w:rPr>
      <w:rFonts w:asciiTheme="majorHAnsi" w:eastAsiaTheme="majorEastAsia" w:hAnsiTheme="majorHAnsi" w:cstheme="majorBidi"/>
      <w:i/>
      <w:iCs/>
      <w:color w:val="404040" w:themeColor="text1" w:themeTint="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link w:val="FootnoteTextChar"/>
    <w:rsid w:val="00BA703E"/>
    <w:rPr>
      <w:sz w:val="16"/>
      <w:lang w:val="en-GB"/>
    </w:rPr>
  </w:style>
  <w:style w:type="paragraph" w:customStyle="1" w:styleId="JACoWReferenceurldoi">
    <w:name w:val="JACoW_Reference url_doi"/>
    <w:basedOn w:val="BodyTextNoIndent"/>
    <w:link w:val="JACoWReferenceurldoiChar"/>
    <w:qFormat/>
    <w:rsid w:val="0041146C"/>
    <w:rPr>
      <w:rFonts w:ascii="Liberation Mono" w:hAnsi="Liberation Mono" w:cs="Courier New"/>
      <w:sz w:val="16"/>
      <w:szCs w:val="15"/>
      <w:lang w:val="en-US"/>
    </w:rPr>
  </w:style>
  <w:style w:type="paragraph" w:customStyle="1" w:styleId="JACoWAuthorList">
    <w:name w:val="JACoW_Author List"/>
    <w:next w:val="JACoWAbstractHeading"/>
    <w:autoRedefine/>
    <w:qFormat/>
    <w:rsid w:val="006414A0"/>
    <w:pPr>
      <w:spacing w:before="180" w:after="240"/>
      <w:jc w:val="center"/>
    </w:pPr>
    <w:rPr>
      <w:kern w:val="16"/>
      <w:sz w:val="24"/>
      <w:szCs w:val="24"/>
      <w:lang w:val="fr-FR"/>
    </w:rPr>
  </w:style>
  <w:style w:type="paragraph" w:customStyle="1" w:styleId="FigureCaption">
    <w:name w:val="Figure Caption"/>
    <w:next w:val="BodyTextIndent"/>
    <w:link w:val="FigureCaptionChar"/>
    <w:rsid w:val="00BA703E"/>
    <w:pPr>
      <w:spacing w:before="60" w:after="120"/>
      <w:jc w:val="center"/>
    </w:pPr>
    <w:rPr>
      <w:szCs w:val="24"/>
      <w:lang w:val="en-GB"/>
    </w:rPr>
  </w:style>
  <w:style w:type="paragraph" w:customStyle="1" w:styleId="JACoWDOI">
    <w:name w:val="JACoW_DOI"/>
    <w:link w:val="JACoWDOIChar"/>
    <w:autoRedefine/>
    <w:qFormat/>
    <w:rsid w:val="0023141B"/>
    <w:rPr>
      <w:kern w:val="16"/>
      <w:sz w:val="18"/>
      <w:szCs w:val="18"/>
      <w:lang w:val="de-DE"/>
    </w:rPr>
  </w:style>
  <w:style w:type="character" w:styleId="FootnoteReference">
    <w:name w:val="footnote reference"/>
    <w:rsid w:val="00BA703E"/>
    <w:rPr>
      <w:rFonts w:ascii="Times New Roman" w:hAnsi="Times New Roman"/>
      <w:sz w:val="20"/>
      <w:vertAlign w:val="superscript"/>
    </w:rPr>
  </w:style>
  <w:style w:type="paragraph" w:customStyle="1" w:styleId="Equation">
    <w:name w:val="Equation"/>
    <w:basedOn w:val="BodyTextNoIndent"/>
    <w:next w:val="BodyTextNoIndent"/>
    <w:autoRedefine/>
    <w:rsid w:val="00551C35"/>
    <w:pPr>
      <w:spacing w:before="240" w:after="240"/>
      <w:jc w:val="right"/>
    </w:pPr>
    <w:rPr>
      <w:kern w:val="16"/>
    </w:rPr>
  </w:style>
  <w:style w:type="paragraph" w:customStyle="1" w:styleId="JACoWReferencewhen9Refs">
    <w:name w:val="JACoW_Reference when &lt;= 9 Refs"/>
    <w:basedOn w:val="Normal"/>
    <w:link w:val="JACoWReferencewhen9RefsChar"/>
    <w:autoRedefine/>
    <w:qFormat/>
    <w:rsid w:val="00E95D30"/>
    <w:pPr>
      <w:spacing w:before="0" w:after="60" w:line="208" w:lineRule="exact"/>
      <w:ind w:left="295" w:hanging="295"/>
      <w:jc w:val="both"/>
    </w:pPr>
    <w:rPr>
      <w:sz w:val="18"/>
    </w:rPr>
  </w:style>
  <w:style w:type="paragraph" w:styleId="BodyTextIndent">
    <w:name w:val="Body Text Indent"/>
    <w:link w:val="BodyTextIndentChar"/>
    <w:rsid w:val="00BA703E"/>
    <w:pPr>
      <w:ind w:firstLine="187"/>
      <w:jc w:val="both"/>
    </w:pPr>
    <w:rPr>
      <w:lang w:val="en-GB"/>
    </w:rPr>
  </w:style>
  <w:style w:type="character" w:styleId="Hyperlink">
    <w:name w:val="Hyperlink"/>
    <w:aliases w:val="JACoW_DOI_Hyperlink"/>
    <w:basedOn w:val="JACoWReferenceurldoiChar"/>
    <w:qFormat/>
    <w:rsid w:val="007B0E79"/>
    <w:rPr>
      <w:rFonts w:ascii="Liberation Mono" w:hAnsi="Liberation Mono" w:cs="Courier New"/>
      <w:color w:val="365F91" w:themeColor="accent1" w:themeShade="BF"/>
      <w:sz w:val="16"/>
      <w:szCs w:val="15"/>
      <w:u w:val="none"/>
      <w:lang w:val="en-GB"/>
    </w:rPr>
  </w:style>
  <w:style w:type="paragraph" w:customStyle="1" w:styleId="JACoWBulletedList">
    <w:name w:val="JACoW_Bulleted List"/>
    <w:qFormat/>
    <w:rsid w:val="007B0E79"/>
    <w:pPr>
      <w:numPr>
        <w:numId w:val="2"/>
      </w:numPr>
      <w:ind w:left="391" w:hanging="204"/>
      <w:jc w:val="both"/>
    </w:pPr>
    <w:rPr>
      <w:szCs w:val="24"/>
      <w:lang w:val="en-GB"/>
    </w:rPr>
  </w:style>
  <w:style w:type="character" w:customStyle="1" w:styleId="JACoWReferencewhen9RefsChar">
    <w:name w:val="JACoW_Reference when &lt;= 9 Refs Char"/>
    <w:link w:val="JACoWReferencewhen9Refs"/>
    <w:rsid w:val="00E95D30"/>
    <w:rPr>
      <w:kern w:val="16"/>
      <w:sz w:val="18"/>
      <w:szCs w:val="18"/>
      <w:lang w:val="en-GB"/>
    </w:rPr>
  </w:style>
  <w:style w:type="paragraph" w:styleId="Caption">
    <w:name w:val="caption"/>
    <w:basedOn w:val="Normal"/>
    <w:next w:val="Normal"/>
    <w:link w:val="CaptionChar"/>
    <w:uiPriority w:val="35"/>
    <w:qFormat/>
    <w:rsid w:val="00310C40"/>
    <w:pPr>
      <w:spacing w:before="60" w:after="60"/>
      <w:jc w:val="center"/>
    </w:pPr>
    <w:rPr>
      <w:bCs/>
    </w:rPr>
  </w:style>
  <w:style w:type="paragraph" w:customStyle="1" w:styleId="BodyTextNoIndent">
    <w:name w:val="Body Text No Indent"/>
    <w:basedOn w:val="BodyTextIndent"/>
    <w:rsid w:val="00BA703E"/>
    <w:pPr>
      <w:ind w:firstLine="0"/>
    </w:pPr>
  </w:style>
  <w:style w:type="paragraph" w:customStyle="1" w:styleId="FigureCaptionMultiLine">
    <w:name w:val="Figure Caption Multi Line"/>
    <w:basedOn w:val="FigureCaption"/>
    <w:next w:val="BodyTextIndent"/>
    <w:rsid w:val="00BA703E"/>
    <w:pPr>
      <w:jc w:val="both"/>
    </w:pPr>
    <w:rPr>
      <w:szCs w:val="20"/>
    </w:rPr>
  </w:style>
  <w:style w:type="paragraph" w:customStyle="1" w:styleId="TableCaptionMultiLine">
    <w:name w:val="Table Caption Multi Line"/>
    <w:basedOn w:val="Normal"/>
    <w:next w:val="BodyTextIndent"/>
    <w:rsid w:val="00255081"/>
    <w:pPr>
      <w:spacing w:before="60" w:after="60"/>
      <w:jc w:val="both"/>
    </w:pPr>
    <w:rPr>
      <w:szCs w:val="20"/>
    </w:rPr>
  </w:style>
  <w:style w:type="paragraph" w:styleId="BalloonText">
    <w:name w:val="Balloon Text"/>
    <w:basedOn w:val="Normal"/>
    <w:link w:val="BalloonTextChar"/>
    <w:uiPriority w:val="99"/>
    <w:semiHidden/>
    <w:unhideWhenUsed/>
    <w:rsid w:val="00BA703E"/>
    <w:rPr>
      <w:rFonts w:ascii="Tahoma" w:hAnsi="Tahoma" w:cs="Tahoma"/>
      <w:sz w:val="16"/>
      <w:szCs w:val="16"/>
    </w:rPr>
  </w:style>
  <w:style w:type="character" w:customStyle="1" w:styleId="BalloonTextChar">
    <w:name w:val="Balloon Text Char"/>
    <w:link w:val="BalloonText"/>
    <w:uiPriority w:val="99"/>
    <w:semiHidden/>
    <w:rsid w:val="00BA703E"/>
    <w:rPr>
      <w:rFonts w:ascii="Tahoma" w:hAnsi="Tahoma" w:cs="Tahoma"/>
      <w:sz w:val="16"/>
      <w:szCs w:val="16"/>
      <w:lang w:val="en-GB"/>
    </w:rPr>
  </w:style>
  <w:style w:type="character" w:styleId="CommentReference">
    <w:name w:val="annotation reference"/>
    <w:uiPriority w:val="99"/>
    <w:semiHidden/>
    <w:unhideWhenUsed/>
    <w:rsid w:val="00BA703E"/>
    <w:rPr>
      <w:sz w:val="16"/>
      <w:szCs w:val="16"/>
    </w:rPr>
  </w:style>
  <w:style w:type="paragraph" w:styleId="CommentText">
    <w:name w:val="annotation text"/>
    <w:basedOn w:val="Normal"/>
    <w:link w:val="CommentTextChar"/>
    <w:uiPriority w:val="99"/>
    <w:unhideWhenUsed/>
    <w:rsid w:val="00BA703E"/>
    <w:rPr>
      <w:szCs w:val="20"/>
    </w:rPr>
  </w:style>
  <w:style w:type="character" w:customStyle="1" w:styleId="CommentTextChar">
    <w:name w:val="Comment Text Char"/>
    <w:link w:val="CommentText"/>
    <w:uiPriority w:val="99"/>
    <w:rsid w:val="00BA703E"/>
    <w:rPr>
      <w:rFonts w:ascii="Times" w:hAnsi="Times"/>
      <w:lang w:val="en-GB"/>
    </w:rPr>
  </w:style>
  <w:style w:type="paragraph" w:styleId="CommentSubject">
    <w:name w:val="annotation subject"/>
    <w:basedOn w:val="CommentText"/>
    <w:next w:val="CommentText"/>
    <w:link w:val="CommentSubjectChar"/>
    <w:uiPriority w:val="99"/>
    <w:semiHidden/>
    <w:unhideWhenUsed/>
    <w:rsid w:val="00BA703E"/>
    <w:rPr>
      <w:b/>
      <w:bCs/>
    </w:rPr>
  </w:style>
  <w:style w:type="character" w:customStyle="1" w:styleId="CommentSubjectChar">
    <w:name w:val="Comment Subject Char"/>
    <w:link w:val="CommentSubject"/>
    <w:uiPriority w:val="99"/>
    <w:semiHidden/>
    <w:rsid w:val="00BA703E"/>
    <w:rPr>
      <w:rFonts w:ascii="Times" w:hAnsi="Times"/>
      <w:b/>
      <w:bCs/>
      <w:lang w:val="en-GB"/>
    </w:rPr>
  </w:style>
  <w:style w:type="paragraph" w:customStyle="1" w:styleId="JACoWPaperTitle">
    <w:name w:val="JACoW_Paper Title"/>
    <w:next w:val="JACoWAuthorList"/>
    <w:autoRedefine/>
    <w:qFormat/>
    <w:rsid w:val="003C1B1E"/>
    <w:pPr>
      <w:suppressLineNumbers/>
      <w:suppressAutoHyphens/>
      <w:spacing w:after="60"/>
      <w:jc w:val="center"/>
    </w:pPr>
    <w:rPr>
      <w:rFonts w:eastAsiaTheme="majorEastAsia" w:cstheme="majorBidi"/>
      <w:b/>
      <w:iCs/>
      <w:sz w:val="28"/>
      <w:szCs w:val="28"/>
      <w:lang w:val="en-GB"/>
    </w:rPr>
  </w:style>
  <w:style w:type="paragraph" w:customStyle="1" w:styleId="JACoWSectionHeading">
    <w:name w:val="JACoW_Section Heading"/>
    <w:basedOn w:val="Heading2"/>
    <w:next w:val="JACoWThirdLevelHeading"/>
    <w:autoRedefine/>
    <w:uiPriority w:val="3"/>
    <w:qFormat/>
    <w:rsid w:val="003C1B1E"/>
    <w:pPr>
      <w:suppressLineNumbers/>
      <w:suppressAutoHyphens/>
      <w:spacing w:before="180"/>
    </w:pPr>
    <w:rPr>
      <w:lang w:val="fr-FR"/>
    </w:rPr>
  </w:style>
  <w:style w:type="paragraph" w:customStyle="1" w:styleId="JACoWSubsectionHeading">
    <w:name w:val="JACoW_Subsection Heading"/>
    <w:basedOn w:val="Heading3"/>
    <w:next w:val="JACoWThirdLevelHeading"/>
    <w:uiPriority w:val="4"/>
    <w:qFormat/>
    <w:rsid w:val="00113B1E"/>
    <w:rPr>
      <w:kern w:val="16"/>
    </w:rPr>
  </w:style>
  <w:style w:type="paragraph" w:styleId="TableofFigures">
    <w:name w:val="table of figures"/>
    <w:basedOn w:val="Normal"/>
    <w:next w:val="Normal"/>
    <w:uiPriority w:val="99"/>
    <w:unhideWhenUsed/>
    <w:rsid w:val="005F1707"/>
  </w:style>
  <w:style w:type="paragraph" w:styleId="NormalWeb">
    <w:name w:val="Normal (Web)"/>
    <w:basedOn w:val="Normal"/>
    <w:uiPriority w:val="99"/>
    <w:semiHidden/>
    <w:unhideWhenUsed/>
    <w:rsid w:val="003D4DD7"/>
    <w:rPr>
      <w:sz w:val="24"/>
    </w:rPr>
  </w:style>
  <w:style w:type="character" w:customStyle="1" w:styleId="Heading1Char">
    <w:name w:val="Heading 1 Char"/>
    <w:basedOn w:val="DefaultParagraphFont"/>
    <w:link w:val="Heading1"/>
    <w:uiPriority w:val="9"/>
    <w:rsid w:val="00310C40"/>
    <w:rPr>
      <w:rFonts w:cs="Arial"/>
      <w:b/>
      <w:bCs/>
      <w:caps/>
      <w:kern w:val="32"/>
      <w:sz w:val="28"/>
      <w:szCs w:val="32"/>
      <w:lang w:val="en-GB"/>
    </w:rPr>
  </w:style>
  <w:style w:type="character" w:customStyle="1" w:styleId="BodyTextIndentChar">
    <w:name w:val="Body Text Indent Char"/>
    <w:link w:val="BodyTextIndent"/>
    <w:rsid w:val="00BA703E"/>
    <w:rPr>
      <w:lang w:val="en-GB"/>
    </w:rPr>
  </w:style>
  <w:style w:type="character" w:styleId="PlaceholderText">
    <w:name w:val="Placeholder Text"/>
    <w:basedOn w:val="DefaultParagraphFont"/>
    <w:uiPriority w:val="99"/>
    <w:semiHidden/>
    <w:rsid w:val="00726E9D"/>
    <w:rPr>
      <w:color w:val="808080"/>
    </w:rPr>
  </w:style>
  <w:style w:type="character" w:customStyle="1" w:styleId="FootnoteTextChar">
    <w:name w:val="Footnote Text Char"/>
    <w:link w:val="FootnoteText"/>
    <w:rsid w:val="00BA703E"/>
    <w:rPr>
      <w:sz w:val="16"/>
      <w:lang w:val="en-GB"/>
    </w:rPr>
  </w:style>
  <w:style w:type="character" w:customStyle="1" w:styleId="FigureCaptionChar">
    <w:name w:val="Figure Caption Char"/>
    <w:basedOn w:val="DefaultParagraphFont"/>
    <w:link w:val="FigureCaption"/>
    <w:rsid w:val="006F6BAA"/>
    <w:rPr>
      <w:szCs w:val="24"/>
      <w:lang w:val="en-GB"/>
    </w:rPr>
  </w:style>
  <w:style w:type="character" w:customStyle="1" w:styleId="CaptionChar">
    <w:name w:val="Caption Char"/>
    <w:basedOn w:val="FigureCaptionChar"/>
    <w:link w:val="Caption"/>
    <w:rsid w:val="00310C40"/>
    <w:rPr>
      <w:bCs/>
      <w:szCs w:val="24"/>
      <w:lang w:val="en-GB"/>
    </w:rPr>
  </w:style>
  <w:style w:type="table" w:styleId="TableGrid">
    <w:name w:val="Table Grid"/>
    <w:basedOn w:val="TableNormal"/>
    <w:uiPriority w:val="59"/>
    <w:rsid w:val="00AB5D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losing">
    <w:name w:val="Closing"/>
    <w:basedOn w:val="Normal"/>
    <w:link w:val="ClosingChar"/>
    <w:uiPriority w:val="99"/>
    <w:semiHidden/>
    <w:unhideWhenUsed/>
    <w:rsid w:val="00617974"/>
    <w:pPr>
      <w:ind w:left="4252"/>
    </w:pPr>
  </w:style>
  <w:style w:type="character" w:customStyle="1" w:styleId="ClosingChar">
    <w:name w:val="Closing Char"/>
    <w:basedOn w:val="DefaultParagraphFont"/>
    <w:link w:val="Closing"/>
    <w:uiPriority w:val="99"/>
    <w:semiHidden/>
    <w:rsid w:val="00617974"/>
    <w:rPr>
      <w:rFonts w:ascii="Times" w:hAnsi="Times"/>
      <w:szCs w:val="24"/>
      <w:lang w:val="en-GB"/>
    </w:rPr>
  </w:style>
  <w:style w:type="paragraph" w:customStyle="1" w:styleId="Style1">
    <w:name w:val="Style1"/>
    <w:basedOn w:val="Caption"/>
    <w:qFormat/>
    <w:rsid w:val="00310C40"/>
    <w:rPr>
      <w:szCs w:val="20"/>
    </w:rPr>
  </w:style>
  <w:style w:type="paragraph" w:customStyle="1" w:styleId="Style2">
    <w:name w:val="Style2"/>
    <w:basedOn w:val="Caption"/>
    <w:qFormat/>
    <w:rsid w:val="00310C40"/>
    <w:rPr>
      <w:b/>
      <w:szCs w:val="20"/>
    </w:rPr>
  </w:style>
  <w:style w:type="paragraph" w:customStyle="1" w:styleId="Style3">
    <w:name w:val="Style3"/>
    <w:basedOn w:val="Caption"/>
    <w:autoRedefine/>
    <w:qFormat/>
    <w:rsid w:val="00310C40"/>
    <w:rPr>
      <w:b/>
      <w:szCs w:val="20"/>
    </w:rPr>
  </w:style>
  <w:style w:type="character" w:styleId="Emphasis">
    <w:name w:val="Emphasis"/>
    <w:basedOn w:val="DefaultParagraphFont"/>
    <w:uiPriority w:val="20"/>
    <w:qFormat/>
    <w:rsid w:val="00310C40"/>
    <w:rPr>
      <w:i/>
      <w:iCs/>
    </w:rPr>
  </w:style>
  <w:style w:type="character" w:customStyle="1" w:styleId="Heading4Char">
    <w:name w:val="Heading 4 Char"/>
    <w:basedOn w:val="DefaultParagraphFont"/>
    <w:link w:val="Heading4"/>
    <w:uiPriority w:val="9"/>
    <w:semiHidden/>
    <w:rsid w:val="00310C40"/>
    <w:rPr>
      <w:rFonts w:asciiTheme="majorHAnsi" w:eastAsiaTheme="majorEastAsia" w:hAnsiTheme="majorHAnsi" w:cstheme="majorBidi"/>
      <w:b/>
      <w:bCs/>
      <w:i/>
      <w:iCs/>
      <w:color w:val="4F81BD" w:themeColor="accent1"/>
      <w:szCs w:val="24"/>
      <w:lang w:val="en-GB"/>
    </w:rPr>
  </w:style>
  <w:style w:type="paragraph" w:customStyle="1" w:styleId="JACoWThirdLevelHeading">
    <w:name w:val="JACoW_Third Level Heading"/>
    <w:basedOn w:val="BodyTextIndent"/>
    <w:link w:val="JACoWThirdLevelHeadingChar"/>
    <w:autoRedefine/>
    <w:qFormat/>
    <w:rsid w:val="004A3306"/>
  </w:style>
  <w:style w:type="paragraph" w:customStyle="1" w:styleId="JACoWReference1-9when10Refs">
    <w:name w:val="JACoW_Reference #1-9 when &gt;= 10 Refs"/>
    <w:link w:val="JACoWReference1-9when10RefsChar"/>
    <w:qFormat/>
    <w:rsid w:val="001517C2"/>
    <w:pPr>
      <w:spacing w:after="60" w:line="208" w:lineRule="exact"/>
      <w:ind w:left="386" w:hanging="295"/>
      <w:jc w:val="both"/>
    </w:pPr>
    <w:rPr>
      <w:rFonts w:cs="Consolas"/>
      <w:sz w:val="18"/>
      <w:szCs w:val="18"/>
      <w:lang w:val="en-GB"/>
    </w:rPr>
  </w:style>
  <w:style w:type="character" w:customStyle="1" w:styleId="JACoWThirdLevelHeadingChar">
    <w:name w:val="JACoW_Third Level Heading Char"/>
    <w:basedOn w:val="BodyTextIndentChar"/>
    <w:link w:val="JACoWThirdLevelHeading"/>
    <w:rsid w:val="004A3306"/>
    <w:rPr>
      <w:lang w:val="en-GB"/>
    </w:rPr>
  </w:style>
  <w:style w:type="paragraph" w:customStyle="1" w:styleId="JACoWReference10onwards">
    <w:name w:val="JACoW_Reference #10 onwards"/>
    <w:basedOn w:val="JACoWReferencewhen9Refs"/>
    <w:link w:val="JACoWReference10onwardsChar"/>
    <w:qFormat/>
    <w:rsid w:val="002425CA"/>
    <w:pPr>
      <w:ind w:left="386" w:hanging="386"/>
    </w:pPr>
  </w:style>
  <w:style w:type="paragraph" w:customStyle="1" w:styleId="JACoWThird-levelHeading">
    <w:name w:val="JACoW_Third-level Heading"/>
    <w:basedOn w:val="BodyTextIndent"/>
    <w:link w:val="JACoWThird-levelHeadingChar"/>
    <w:qFormat/>
    <w:rsid w:val="004A3306"/>
    <w:rPr>
      <w:b/>
    </w:rPr>
  </w:style>
  <w:style w:type="character" w:customStyle="1" w:styleId="JACoWThird-levelHeadingChar">
    <w:name w:val="JACoW_Third-level Heading Char"/>
    <w:basedOn w:val="BodyTextIndentChar"/>
    <w:link w:val="JACoWThird-levelHeading"/>
    <w:rsid w:val="004A3306"/>
    <w:rPr>
      <w:b/>
      <w:lang w:val="en-GB"/>
    </w:rPr>
  </w:style>
  <w:style w:type="paragraph" w:styleId="Bibliography">
    <w:name w:val="Bibliography"/>
    <w:basedOn w:val="Normal"/>
    <w:next w:val="Normal"/>
    <w:uiPriority w:val="37"/>
    <w:semiHidden/>
    <w:unhideWhenUsed/>
    <w:rsid w:val="00CA0E75"/>
  </w:style>
  <w:style w:type="paragraph" w:styleId="BlockText">
    <w:name w:val="Block Text"/>
    <w:basedOn w:val="Normal"/>
    <w:uiPriority w:val="99"/>
    <w:semiHidden/>
    <w:unhideWhenUsed/>
    <w:rsid w:val="00CA0E75"/>
    <w:pPr>
      <w:pBdr>
        <w:top w:val="single" w:sz="2" w:space="10" w:color="4F81BD" w:themeColor="accent1" w:shadow="1"/>
        <w:left w:val="single" w:sz="2" w:space="10" w:color="4F81BD" w:themeColor="accent1" w:shadow="1"/>
        <w:bottom w:val="single" w:sz="2" w:space="10" w:color="4F81BD" w:themeColor="accent1" w:shadow="1"/>
        <w:right w:val="single" w:sz="2" w:space="10" w:color="4F81BD" w:themeColor="accent1" w:shadow="1"/>
      </w:pBdr>
      <w:ind w:left="1152" w:right="1152"/>
    </w:pPr>
    <w:rPr>
      <w:rFonts w:asciiTheme="minorHAnsi" w:eastAsiaTheme="minorEastAsia" w:hAnsiTheme="minorHAnsi" w:cstheme="minorBidi"/>
      <w:i/>
      <w:iCs/>
      <w:color w:val="4F81BD" w:themeColor="accent1"/>
    </w:rPr>
  </w:style>
  <w:style w:type="paragraph" w:styleId="BodyText">
    <w:name w:val="Body Text"/>
    <w:basedOn w:val="Normal"/>
    <w:link w:val="BodyTextChar"/>
    <w:uiPriority w:val="99"/>
    <w:semiHidden/>
    <w:unhideWhenUsed/>
    <w:rsid w:val="00CA0E75"/>
    <w:pPr>
      <w:spacing w:after="120"/>
    </w:pPr>
  </w:style>
  <w:style w:type="character" w:customStyle="1" w:styleId="BodyTextChar">
    <w:name w:val="Body Text Char"/>
    <w:basedOn w:val="DefaultParagraphFont"/>
    <w:link w:val="BodyText"/>
    <w:uiPriority w:val="99"/>
    <w:semiHidden/>
    <w:rsid w:val="00CA0E75"/>
    <w:rPr>
      <w:rFonts w:ascii="Times" w:hAnsi="Times"/>
      <w:szCs w:val="24"/>
      <w:lang w:val="en-GB"/>
    </w:rPr>
  </w:style>
  <w:style w:type="paragraph" w:styleId="BodyText2">
    <w:name w:val="Body Text 2"/>
    <w:basedOn w:val="Normal"/>
    <w:link w:val="BodyText2Char"/>
    <w:uiPriority w:val="99"/>
    <w:semiHidden/>
    <w:unhideWhenUsed/>
    <w:rsid w:val="00CA0E75"/>
    <w:pPr>
      <w:spacing w:after="120" w:line="480" w:lineRule="auto"/>
    </w:pPr>
  </w:style>
  <w:style w:type="character" w:customStyle="1" w:styleId="BodyText2Char">
    <w:name w:val="Body Text 2 Char"/>
    <w:basedOn w:val="DefaultParagraphFont"/>
    <w:link w:val="BodyText2"/>
    <w:uiPriority w:val="99"/>
    <w:semiHidden/>
    <w:rsid w:val="00CA0E75"/>
    <w:rPr>
      <w:rFonts w:ascii="Times" w:hAnsi="Times"/>
      <w:szCs w:val="24"/>
      <w:lang w:val="en-GB"/>
    </w:rPr>
  </w:style>
  <w:style w:type="paragraph" w:styleId="BodyText3">
    <w:name w:val="Body Text 3"/>
    <w:basedOn w:val="Normal"/>
    <w:link w:val="BodyText3Char"/>
    <w:uiPriority w:val="99"/>
    <w:semiHidden/>
    <w:unhideWhenUsed/>
    <w:rsid w:val="00CA0E75"/>
    <w:pPr>
      <w:spacing w:after="120"/>
    </w:pPr>
    <w:rPr>
      <w:sz w:val="16"/>
      <w:szCs w:val="16"/>
    </w:rPr>
  </w:style>
  <w:style w:type="character" w:customStyle="1" w:styleId="BodyText3Char">
    <w:name w:val="Body Text 3 Char"/>
    <w:basedOn w:val="DefaultParagraphFont"/>
    <w:link w:val="BodyText3"/>
    <w:uiPriority w:val="99"/>
    <w:semiHidden/>
    <w:rsid w:val="00CA0E75"/>
    <w:rPr>
      <w:rFonts w:ascii="Times" w:hAnsi="Times"/>
      <w:sz w:val="16"/>
      <w:szCs w:val="16"/>
      <w:lang w:val="en-GB"/>
    </w:rPr>
  </w:style>
  <w:style w:type="paragraph" w:styleId="BodyTextFirstIndent">
    <w:name w:val="Body Text First Indent"/>
    <w:basedOn w:val="BodyText"/>
    <w:link w:val="BodyTextFirstIndentChar"/>
    <w:uiPriority w:val="99"/>
    <w:semiHidden/>
    <w:unhideWhenUsed/>
    <w:rsid w:val="00CA0E75"/>
    <w:pPr>
      <w:spacing w:after="0"/>
      <w:ind w:firstLine="360"/>
    </w:pPr>
  </w:style>
  <w:style w:type="character" w:customStyle="1" w:styleId="BodyTextFirstIndentChar">
    <w:name w:val="Body Text First Indent Char"/>
    <w:basedOn w:val="BodyTextChar"/>
    <w:link w:val="BodyTextFirstIndent"/>
    <w:uiPriority w:val="99"/>
    <w:semiHidden/>
    <w:rsid w:val="00CA0E75"/>
    <w:rPr>
      <w:rFonts w:ascii="Times" w:hAnsi="Times"/>
      <w:szCs w:val="24"/>
      <w:lang w:val="en-GB"/>
    </w:rPr>
  </w:style>
  <w:style w:type="paragraph" w:styleId="BodyTextFirstIndent2">
    <w:name w:val="Body Text First Indent 2"/>
    <w:basedOn w:val="BodyTextIndent"/>
    <w:link w:val="BodyTextFirstIndent2Char"/>
    <w:uiPriority w:val="99"/>
    <w:semiHidden/>
    <w:unhideWhenUsed/>
    <w:rsid w:val="00CA0E75"/>
    <w:pPr>
      <w:ind w:left="360" w:firstLine="360"/>
      <w:jc w:val="left"/>
    </w:pPr>
    <w:rPr>
      <w:rFonts w:ascii="Times" w:hAnsi="Times"/>
      <w:szCs w:val="24"/>
    </w:rPr>
  </w:style>
  <w:style w:type="character" w:customStyle="1" w:styleId="BodyTextFirstIndent2Char">
    <w:name w:val="Body Text First Indent 2 Char"/>
    <w:basedOn w:val="BodyTextIndentChar"/>
    <w:link w:val="BodyTextFirstIndent2"/>
    <w:uiPriority w:val="99"/>
    <w:semiHidden/>
    <w:rsid w:val="00CA0E75"/>
    <w:rPr>
      <w:rFonts w:ascii="Times" w:hAnsi="Times"/>
      <w:szCs w:val="24"/>
      <w:lang w:val="en-GB"/>
    </w:rPr>
  </w:style>
  <w:style w:type="paragraph" w:styleId="BodyTextIndent2">
    <w:name w:val="Body Text Indent 2"/>
    <w:basedOn w:val="Normal"/>
    <w:link w:val="BodyTextIndent2Char"/>
    <w:uiPriority w:val="99"/>
    <w:semiHidden/>
    <w:unhideWhenUsed/>
    <w:rsid w:val="00CA0E75"/>
    <w:pPr>
      <w:spacing w:after="120" w:line="480" w:lineRule="auto"/>
      <w:ind w:left="283"/>
    </w:pPr>
  </w:style>
  <w:style w:type="character" w:customStyle="1" w:styleId="BodyTextIndent2Char">
    <w:name w:val="Body Text Indent 2 Char"/>
    <w:basedOn w:val="DefaultParagraphFont"/>
    <w:link w:val="BodyTextIndent2"/>
    <w:uiPriority w:val="99"/>
    <w:semiHidden/>
    <w:rsid w:val="00CA0E75"/>
    <w:rPr>
      <w:rFonts w:ascii="Times" w:hAnsi="Times"/>
      <w:szCs w:val="24"/>
      <w:lang w:val="en-GB"/>
    </w:rPr>
  </w:style>
  <w:style w:type="paragraph" w:styleId="BodyTextIndent3">
    <w:name w:val="Body Text Indent 3"/>
    <w:basedOn w:val="Normal"/>
    <w:link w:val="BodyTextIndent3Char"/>
    <w:uiPriority w:val="99"/>
    <w:semiHidden/>
    <w:unhideWhenUsed/>
    <w:rsid w:val="00CA0E75"/>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CA0E75"/>
    <w:rPr>
      <w:rFonts w:ascii="Times" w:hAnsi="Times"/>
      <w:sz w:val="16"/>
      <w:szCs w:val="16"/>
      <w:lang w:val="en-GB"/>
    </w:rPr>
  </w:style>
  <w:style w:type="paragraph" w:styleId="Date">
    <w:name w:val="Date"/>
    <w:basedOn w:val="Normal"/>
    <w:next w:val="Normal"/>
    <w:link w:val="DateChar"/>
    <w:uiPriority w:val="99"/>
    <w:semiHidden/>
    <w:unhideWhenUsed/>
    <w:rsid w:val="00CA0E75"/>
  </w:style>
  <w:style w:type="character" w:customStyle="1" w:styleId="DateChar">
    <w:name w:val="Date Char"/>
    <w:basedOn w:val="DefaultParagraphFont"/>
    <w:link w:val="Date"/>
    <w:uiPriority w:val="99"/>
    <w:semiHidden/>
    <w:rsid w:val="00CA0E75"/>
    <w:rPr>
      <w:rFonts w:ascii="Times" w:hAnsi="Times"/>
      <w:szCs w:val="24"/>
      <w:lang w:val="en-GB"/>
    </w:rPr>
  </w:style>
  <w:style w:type="paragraph" w:styleId="DocumentMap">
    <w:name w:val="Document Map"/>
    <w:basedOn w:val="Normal"/>
    <w:link w:val="DocumentMapChar"/>
    <w:uiPriority w:val="99"/>
    <w:semiHidden/>
    <w:unhideWhenUsed/>
    <w:rsid w:val="00CA0E75"/>
    <w:rPr>
      <w:rFonts w:ascii="Tahoma" w:hAnsi="Tahoma" w:cs="Tahoma"/>
      <w:sz w:val="16"/>
      <w:szCs w:val="16"/>
    </w:rPr>
  </w:style>
  <w:style w:type="character" w:customStyle="1" w:styleId="DocumentMapChar">
    <w:name w:val="Document Map Char"/>
    <w:basedOn w:val="DefaultParagraphFont"/>
    <w:link w:val="DocumentMap"/>
    <w:uiPriority w:val="99"/>
    <w:semiHidden/>
    <w:rsid w:val="00CA0E75"/>
    <w:rPr>
      <w:rFonts w:ascii="Tahoma" w:hAnsi="Tahoma" w:cs="Tahoma"/>
      <w:sz w:val="16"/>
      <w:szCs w:val="16"/>
      <w:lang w:val="en-GB"/>
    </w:rPr>
  </w:style>
  <w:style w:type="paragraph" w:styleId="E-mailSignature">
    <w:name w:val="E-mail Signature"/>
    <w:basedOn w:val="Normal"/>
    <w:link w:val="E-mailSignatureChar"/>
    <w:uiPriority w:val="99"/>
    <w:semiHidden/>
    <w:unhideWhenUsed/>
    <w:rsid w:val="00CA0E75"/>
  </w:style>
  <w:style w:type="character" w:customStyle="1" w:styleId="E-mailSignatureChar">
    <w:name w:val="E-mail Signature Char"/>
    <w:basedOn w:val="DefaultParagraphFont"/>
    <w:link w:val="E-mailSignature"/>
    <w:uiPriority w:val="99"/>
    <w:semiHidden/>
    <w:rsid w:val="00CA0E75"/>
    <w:rPr>
      <w:rFonts w:ascii="Times" w:hAnsi="Times"/>
      <w:szCs w:val="24"/>
      <w:lang w:val="en-GB"/>
    </w:rPr>
  </w:style>
  <w:style w:type="paragraph" w:styleId="EndnoteText">
    <w:name w:val="endnote text"/>
    <w:basedOn w:val="Normal"/>
    <w:link w:val="EndnoteTextChar"/>
    <w:uiPriority w:val="99"/>
    <w:semiHidden/>
    <w:unhideWhenUsed/>
    <w:rsid w:val="00CA0E75"/>
    <w:rPr>
      <w:szCs w:val="20"/>
    </w:rPr>
  </w:style>
  <w:style w:type="character" w:customStyle="1" w:styleId="EndnoteTextChar">
    <w:name w:val="Endnote Text Char"/>
    <w:basedOn w:val="DefaultParagraphFont"/>
    <w:link w:val="EndnoteText"/>
    <w:uiPriority w:val="99"/>
    <w:semiHidden/>
    <w:rsid w:val="00CA0E75"/>
    <w:rPr>
      <w:rFonts w:ascii="Times" w:hAnsi="Times"/>
      <w:lang w:val="en-GB"/>
    </w:rPr>
  </w:style>
  <w:style w:type="paragraph" w:styleId="EnvelopeAddress">
    <w:name w:val="envelope address"/>
    <w:basedOn w:val="Normal"/>
    <w:uiPriority w:val="99"/>
    <w:semiHidden/>
    <w:unhideWhenUsed/>
    <w:rsid w:val="00CA0E75"/>
    <w:pPr>
      <w:framePr w:w="7920" w:h="1980" w:hRule="exact" w:hSpace="180" w:wrap="auto" w:hAnchor="page" w:xAlign="center" w:yAlign="bottom"/>
      <w:ind w:left="2880"/>
    </w:pPr>
    <w:rPr>
      <w:rFonts w:asciiTheme="majorHAnsi" w:eastAsiaTheme="majorEastAsia" w:hAnsiTheme="majorHAnsi" w:cstheme="majorBidi"/>
      <w:sz w:val="24"/>
    </w:rPr>
  </w:style>
  <w:style w:type="paragraph" w:styleId="EnvelopeReturn">
    <w:name w:val="envelope return"/>
    <w:basedOn w:val="Normal"/>
    <w:uiPriority w:val="99"/>
    <w:semiHidden/>
    <w:unhideWhenUsed/>
    <w:rsid w:val="00CA0E75"/>
    <w:rPr>
      <w:rFonts w:asciiTheme="majorHAnsi" w:eastAsiaTheme="majorEastAsia" w:hAnsiTheme="majorHAnsi" w:cstheme="majorBidi"/>
      <w:szCs w:val="20"/>
    </w:rPr>
  </w:style>
  <w:style w:type="paragraph" w:styleId="Footer">
    <w:name w:val="footer"/>
    <w:basedOn w:val="Normal"/>
    <w:link w:val="FooterChar"/>
    <w:uiPriority w:val="99"/>
    <w:unhideWhenUsed/>
    <w:rsid w:val="00CA0E75"/>
    <w:pPr>
      <w:tabs>
        <w:tab w:val="center" w:pos="4680"/>
        <w:tab w:val="right" w:pos="9360"/>
      </w:tabs>
    </w:pPr>
  </w:style>
  <w:style w:type="character" w:customStyle="1" w:styleId="FooterChar">
    <w:name w:val="Footer Char"/>
    <w:basedOn w:val="DefaultParagraphFont"/>
    <w:link w:val="Footer"/>
    <w:uiPriority w:val="99"/>
    <w:rsid w:val="00CA0E75"/>
    <w:rPr>
      <w:rFonts w:ascii="Times" w:hAnsi="Times"/>
      <w:szCs w:val="24"/>
      <w:lang w:val="en-GB"/>
    </w:rPr>
  </w:style>
  <w:style w:type="paragraph" w:styleId="Header">
    <w:name w:val="header"/>
    <w:basedOn w:val="Normal"/>
    <w:link w:val="HeaderChar"/>
    <w:uiPriority w:val="99"/>
    <w:unhideWhenUsed/>
    <w:rsid w:val="00CA0E75"/>
    <w:pPr>
      <w:tabs>
        <w:tab w:val="center" w:pos="4680"/>
        <w:tab w:val="right" w:pos="9360"/>
      </w:tabs>
    </w:pPr>
  </w:style>
  <w:style w:type="character" w:customStyle="1" w:styleId="HeaderChar">
    <w:name w:val="Header Char"/>
    <w:basedOn w:val="DefaultParagraphFont"/>
    <w:link w:val="Header"/>
    <w:uiPriority w:val="99"/>
    <w:rsid w:val="00CA0E75"/>
    <w:rPr>
      <w:rFonts w:ascii="Times" w:hAnsi="Times"/>
      <w:szCs w:val="24"/>
      <w:lang w:val="en-GB"/>
    </w:rPr>
  </w:style>
  <w:style w:type="character" w:customStyle="1" w:styleId="Heading5Char">
    <w:name w:val="Heading 5 Char"/>
    <w:basedOn w:val="DefaultParagraphFont"/>
    <w:link w:val="Heading5"/>
    <w:uiPriority w:val="9"/>
    <w:semiHidden/>
    <w:rsid w:val="00310C40"/>
    <w:rPr>
      <w:rFonts w:asciiTheme="majorHAnsi" w:eastAsiaTheme="majorEastAsia" w:hAnsiTheme="majorHAnsi" w:cstheme="majorBidi"/>
      <w:color w:val="243F60" w:themeColor="accent1" w:themeShade="7F"/>
      <w:szCs w:val="24"/>
      <w:lang w:val="en-GB"/>
    </w:rPr>
  </w:style>
  <w:style w:type="character" w:customStyle="1" w:styleId="Heading6Char">
    <w:name w:val="Heading 6 Char"/>
    <w:basedOn w:val="DefaultParagraphFont"/>
    <w:link w:val="Heading6"/>
    <w:uiPriority w:val="9"/>
    <w:semiHidden/>
    <w:rsid w:val="00310C40"/>
    <w:rPr>
      <w:rFonts w:asciiTheme="majorHAnsi" w:eastAsiaTheme="majorEastAsia" w:hAnsiTheme="majorHAnsi" w:cstheme="majorBidi"/>
      <w:i/>
      <w:iCs/>
      <w:color w:val="243F60" w:themeColor="accent1" w:themeShade="7F"/>
      <w:szCs w:val="24"/>
      <w:lang w:val="en-GB"/>
    </w:rPr>
  </w:style>
  <w:style w:type="character" w:customStyle="1" w:styleId="Heading7Char">
    <w:name w:val="Heading 7 Char"/>
    <w:basedOn w:val="DefaultParagraphFont"/>
    <w:link w:val="Heading7"/>
    <w:uiPriority w:val="9"/>
    <w:semiHidden/>
    <w:rsid w:val="00310C40"/>
    <w:rPr>
      <w:rFonts w:asciiTheme="majorHAnsi" w:eastAsiaTheme="majorEastAsia" w:hAnsiTheme="majorHAnsi" w:cstheme="majorBidi"/>
      <w:i/>
      <w:iCs/>
      <w:color w:val="404040" w:themeColor="text1" w:themeTint="BF"/>
      <w:szCs w:val="24"/>
      <w:lang w:val="en-GB"/>
    </w:rPr>
  </w:style>
  <w:style w:type="character" w:customStyle="1" w:styleId="Heading8Char">
    <w:name w:val="Heading 8 Char"/>
    <w:basedOn w:val="DefaultParagraphFont"/>
    <w:link w:val="Heading8"/>
    <w:uiPriority w:val="9"/>
    <w:semiHidden/>
    <w:rsid w:val="00310C40"/>
    <w:rPr>
      <w:rFonts w:asciiTheme="majorHAnsi" w:eastAsiaTheme="majorEastAsia" w:hAnsiTheme="majorHAnsi" w:cstheme="majorBidi"/>
      <w:color w:val="404040" w:themeColor="text1" w:themeTint="BF"/>
      <w:lang w:val="en-GB"/>
    </w:rPr>
  </w:style>
  <w:style w:type="character" w:customStyle="1" w:styleId="Heading9Char">
    <w:name w:val="Heading 9 Char"/>
    <w:basedOn w:val="DefaultParagraphFont"/>
    <w:link w:val="Heading9"/>
    <w:uiPriority w:val="9"/>
    <w:semiHidden/>
    <w:rsid w:val="00310C40"/>
    <w:rPr>
      <w:rFonts w:asciiTheme="majorHAnsi" w:eastAsiaTheme="majorEastAsia" w:hAnsiTheme="majorHAnsi" w:cstheme="majorBidi"/>
      <w:i/>
      <w:iCs/>
      <w:color w:val="404040" w:themeColor="text1" w:themeTint="BF"/>
      <w:lang w:val="en-GB"/>
    </w:rPr>
  </w:style>
  <w:style w:type="paragraph" w:styleId="HTMLAddress">
    <w:name w:val="HTML Address"/>
    <w:basedOn w:val="Normal"/>
    <w:link w:val="HTMLAddressChar"/>
    <w:uiPriority w:val="99"/>
    <w:semiHidden/>
    <w:unhideWhenUsed/>
    <w:rsid w:val="00CA0E75"/>
    <w:rPr>
      <w:i/>
      <w:iCs/>
    </w:rPr>
  </w:style>
  <w:style w:type="character" w:customStyle="1" w:styleId="HTMLAddressChar">
    <w:name w:val="HTML Address Char"/>
    <w:basedOn w:val="DefaultParagraphFont"/>
    <w:link w:val="HTMLAddress"/>
    <w:uiPriority w:val="99"/>
    <w:semiHidden/>
    <w:rsid w:val="00CA0E75"/>
    <w:rPr>
      <w:rFonts w:ascii="Times" w:hAnsi="Times"/>
      <w:i/>
      <w:iCs/>
      <w:szCs w:val="24"/>
      <w:lang w:val="en-GB"/>
    </w:rPr>
  </w:style>
  <w:style w:type="paragraph" w:styleId="HTMLPreformatted">
    <w:name w:val="HTML Preformatted"/>
    <w:basedOn w:val="Normal"/>
    <w:link w:val="HTMLPreformattedChar"/>
    <w:uiPriority w:val="99"/>
    <w:semiHidden/>
    <w:unhideWhenUsed/>
    <w:rsid w:val="00CA0E75"/>
    <w:rPr>
      <w:rFonts w:ascii="Consolas" w:hAnsi="Consolas" w:cs="Consolas"/>
      <w:szCs w:val="20"/>
    </w:rPr>
  </w:style>
  <w:style w:type="character" w:customStyle="1" w:styleId="HTMLPreformattedChar">
    <w:name w:val="HTML Preformatted Char"/>
    <w:basedOn w:val="DefaultParagraphFont"/>
    <w:link w:val="HTMLPreformatted"/>
    <w:uiPriority w:val="99"/>
    <w:semiHidden/>
    <w:rsid w:val="00CA0E75"/>
    <w:rPr>
      <w:rFonts w:ascii="Consolas" w:hAnsi="Consolas" w:cs="Consolas"/>
      <w:lang w:val="en-GB"/>
    </w:rPr>
  </w:style>
  <w:style w:type="paragraph" w:styleId="Index1">
    <w:name w:val="index 1"/>
    <w:basedOn w:val="Normal"/>
    <w:next w:val="Normal"/>
    <w:autoRedefine/>
    <w:uiPriority w:val="99"/>
    <w:semiHidden/>
    <w:unhideWhenUsed/>
    <w:rsid w:val="00CA0E75"/>
    <w:pPr>
      <w:ind w:left="200" w:hanging="200"/>
    </w:pPr>
  </w:style>
  <w:style w:type="paragraph" w:styleId="Index2">
    <w:name w:val="index 2"/>
    <w:basedOn w:val="Normal"/>
    <w:next w:val="Normal"/>
    <w:autoRedefine/>
    <w:uiPriority w:val="99"/>
    <w:semiHidden/>
    <w:unhideWhenUsed/>
    <w:rsid w:val="00CA0E75"/>
    <w:pPr>
      <w:ind w:left="400" w:hanging="200"/>
    </w:pPr>
  </w:style>
  <w:style w:type="paragraph" w:styleId="Index3">
    <w:name w:val="index 3"/>
    <w:basedOn w:val="Normal"/>
    <w:next w:val="Normal"/>
    <w:autoRedefine/>
    <w:uiPriority w:val="99"/>
    <w:semiHidden/>
    <w:unhideWhenUsed/>
    <w:rsid w:val="00CA0E75"/>
    <w:pPr>
      <w:ind w:left="600" w:hanging="200"/>
    </w:pPr>
  </w:style>
  <w:style w:type="paragraph" w:styleId="Index4">
    <w:name w:val="index 4"/>
    <w:basedOn w:val="Normal"/>
    <w:next w:val="Normal"/>
    <w:autoRedefine/>
    <w:uiPriority w:val="99"/>
    <w:semiHidden/>
    <w:unhideWhenUsed/>
    <w:rsid w:val="00CA0E75"/>
    <w:pPr>
      <w:ind w:left="800" w:hanging="200"/>
    </w:pPr>
  </w:style>
  <w:style w:type="paragraph" w:styleId="Index5">
    <w:name w:val="index 5"/>
    <w:basedOn w:val="Normal"/>
    <w:next w:val="Normal"/>
    <w:autoRedefine/>
    <w:uiPriority w:val="99"/>
    <w:semiHidden/>
    <w:unhideWhenUsed/>
    <w:rsid w:val="00CA0E75"/>
    <w:pPr>
      <w:ind w:left="1000" w:hanging="200"/>
    </w:pPr>
  </w:style>
  <w:style w:type="paragraph" w:styleId="Index6">
    <w:name w:val="index 6"/>
    <w:basedOn w:val="Normal"/>
    <w:next w:val="Normal"/>
    <w:autoRedefine/>
    <w:uiPriority w:val="99"/>
    <w:semiHidden/>
    <w:unhideWhenUsed/>
    <w:rsid w:val="00CA0E75"/>
    <w:pPr>
      <w:ind w:left="1200" w:hanging="200"/>
    </w:pPr>
  </w:style>
  <w:style w:type="paragraph" w:styleId="Index7">
    <w:name w:val="index 7"/>
    <w:basedOn w:val="Normal"/>
    <w:next w:val="Normal"/>
    <w:autoRedefine/>
    <w:uiPriority w:val="99"/>
    <w:semiHidden/>
    <w:unhideWhenUsed/>
    <w:rsid w:val="00CA0E75"/>
    <w:pPr>
      <w:ind w:left="1400" w:hanging="200"/>
    </w:pPr>
  </w:style>
  <w:style w:type="paragraph" w:styleId="Index8">
    <w:name w:val="index 8"/>
    <w:basedOn w:val="Normal"/>
    <w:next w:val="Normal"/>
    <w:autoRedefine/>
    <w:uiPriority w:val="99"/>
    <w:semiHidden/>
    <w:unhideWhenUsed/>
    <w:rsid w:val="00CA0E75"/>
    <w:pPr>
      <w:ind w:left="1600" w:hanging="200"/>
    </w:pPr>
  </w:style>
  <w:style w:type="paragraph" w:styleId="Index9">
    <w:name w:val="index 9"/>
    <w:basedOn w:val="Normal"/>
    <w:next w:val="Normal"/>
    <w:autoRedefine/>
    <w:uiPriority w:val="99"/>
    <w:semiHidden/>
    <w:unhideWhenUsed/>
    <w:rsid w:val="00CA0E75"/>
    <w:pPr>
      <w:ind w:left="1800" w:hanging="200"/>
    </w:pPr>
  </w:style>
  <w:style w:type="paragraph" w:styleId="IndexHeading">
    <w:name w:val="index heading"/>
    <w:basedOn w:val="Normal"/>
    <w:next w:val="Index1"/>
    <w:uiPriority w:val="99"/>
    <w:semiHidden/>
    <w:unhideWhenUsed/>
    <w:rsid w:val="00CA0E75"/>
    <w:rPr>
      <w:rFonts w:asciiTheme="majorHAnsi" w:eastAsiaTheme="majorEastAsia" w:hAnsiTheme="majorHAnsi" w:cstheme="majorBidi"/>
      <w:b/>
      <w:bCs/>
    </w:rPr>
  </w:style>
  <w:style w:type="paragraph" w:styleId="IntenseQuote">
    <w:name w:val="Intense Quote"/>
    <w:basedOn w:val="Normal"/>
    <w:next w:val="Normal"/>
    <w:link w:val="IntenseQuoteChar"/>
    <w:uiPriority w:val="99"/>
    <w:semiHidden/>
    <w:qFormat/>
    <w:rsid w:val="00310C40"/>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99"/>
    <w:semiHidden/>
    <w:rsid w:val="00310C40"/>
    <w:rPr>
      <w:rFonts w:ascii="Times" w:hAnsi="Times"/>
      <w:b/>
      <w:bCs/>
      <w:i/>
      <w:iCs/>
      <w:color w:val="4F81BD" w:themeColor="accent1"/>
      <w:szCs w:val="24"/>
      <w:lang w:val="en-GB"/>
    </w:rPr>
  </w:style>
  <w:style w:type="paragraph" w:styleId="List">
    <w:name w:val="List"/>
    <w:basedOn w:val="Normal"/>
    <w:uiPriority w:val="99"/>
    <w:semiHidden/>
    <w:unhideWhenUsed/>
    <w:rsid w:val="00CA0E75"/>
    <w:pPr>
      <w:ind w:left="283" w:hanging="283"/>
      <w:contextualSpacing/>
    </w:pPr>
  </w:style>
  <w:style w:type="paragraph" w:styleId="List2">
    <w:name w:val="List 2"/>
    <w:basedOn w:val="Normal"/>
    <w:uiPriority w:val="99"/>
    <w:semiHidden/>
    <w:unhideWhenUsed/>
    <w:rsid w:val="00CA0E75"/>
    <w:pPr>
      <w:ind w:left="566" w:hanging="283"/>
      <w:contextualSpacing/>
    </w:pPr>
  </w:style>
  <w:style w:type="paragraph" w:styleId="List3">
    <w:name w:val="List 3"/>
    <w:basedOn w:val="Normal"/>
    <w:uiPriority w:val="99"/>
    <w:semiHidden/>
    <w:unhideWhenUsed/>
    <w:rsid w:val="00CA0E75"/>
    <w:pPr>
      <w:ind w:left="849" w:hanging="283"/>
      <w:contextualSpacing/>
    </w:pPr>
  </w:style>
  <w:style w:type="paragraph" w:styleId="List4">
    <w:name w:val="List 4"/>
    <w:basedOn w:val="Normal"/>
    <w:uiPriority w:val="99"/>
    <w:semiHidden/>
    <w:unhideWhenUsed/>
    <w:rsid w:val="00CA0E75"/>
    <w:pPr>
      <w:ind w:left="1132" w:hanging="283"/>
      <w:contextualSpacing/>
    </w:pPr>
  </w:style>
  <w:style w:type="paragraph" w:styleId="List5">
    <w:name w:val="List 5"/>
    <w:basedOn w:val="Normal"/>
    <w:uiPriority w:val="99"/>
    <w:semiHidden/>
    <w:unhideWhenUsed/>
    <w:rsid w:val="00CA0E75"/>
    <w:pPr>
      <w:ind w:left="1415" w:hanging="283"/>
      <w:contextualSpacing/>
    </w:pPr>
  </w:style>
  <w:style w:type="paragraph" w:styleId="ListBullet">
    <w:name w:val="List Bullet"/>
    <w:basedOn w:val="Normal"/>
    <w:uiPriority w:val="99"/>
    <w:semiHidden/>
    <w:unhideWhenUsed/>
    <w:rsid w:val="00CA0E75"/>
    <w:pPr>
      <w:numPr>
        <w:numId w:val="4"/>
      </w:numPr>
      <w:contextualSpacing/>
    </w:pPr>
  </w:style>
  <w:style w:type="paragraph" w:styleId="ListBullet2">
    <w:name w:val="List Bullet 2"/>
    <w:basedOn w:val="Normal"/>
    <w:uiPriority w:val="99"/>
    <w:semiHidden/>
    <w:unhideWhenUsed/>
    <w:rsid w:val="00CA0E75"/>
    <w:pPr>
      <w:numPr>
        <w:numId w:val="5"/>
      </w:numPr>
      <w:contextualSpacing/>
    </w:pPr>
  </w:style>
  <w:style w:type="paragraph" w:styleId="ListBullet3">
    <w:name w:val="List Bullet 3"/>
    <w:basedOn w:val="Normal"/>
    <w:uiPriority w:val="99"/>
    <w:semiHidden/>
    <w:unhideWhenUsed/>
    <w:rsid w:val="00CA0E75"/>
    <w:pPr>
      <w:numPr>
        <w:numId w:val="6"/>
      </w:numPr>
      <w:contextualSpacing/>
    </w:pPr>
  </w:style>
  <w:style w:type="paragraph" w:styleId="ListBullet4">
    <w:name w:val="List Bullet 4"/>
    <w:basedOn w:val="Normal"/>
    <w:uiPriority w:val="99"/>
    <w:semiHidden/>
    <w:unhideWhenUsed/>
    <w:rsid w:val="00CA0E75"/>
    <w:pPr>
      <w:numPr>
        <w:numId w:val="7"/>
      </w:numPr>
      <w:contextualSpacing/>
    </w:pPr>
  </w:style>
  <w:style w:type="paragraph" w:styleId="ListBullet5">
    <w:name w:val="List Bullet 5"/>
    <w:basedOn w:val="Normal"/>
    <w:uiPriority w:val="99"/>
    <w:semiHidden/>
    <w:unhideWhenUsed/>
    <w:rsid w:val="00CA0E75"/>
    <w:pPr>
      <w:numPr>
        <w:numId w:val="8"/>
      </w:numPr>
      <w:contextualSpacing/>
    </w:pPr>
  </w:style>
  <w:style w:type="paragraph" w:styleId="ListContinue">
    <w:name w:val="List Continue"/>
    <w:basedOn w:val="Normal"/>
    <w:uiPriority w:val="99"/>
    <w:semiHidden/>
    <w:unhideWhenUsed/>
    <w:rsid w:val="00CA0E75"/>
    <w:pPr>
      <w:spacing w:after="120"/>
      <w:ind w:left="283"/>
      <w:contextualSpacing/>
    </w:pPr>
  </w:style>
  <w:style w:type="paragraph" w:styleId="ListContinue2">
    <w:name w:val="List Continue 2"/>
    <w:basedOn w:val="Normal"/>
    <w:uiPriority w:val="99"/>
    <w:semiHidden/>
    <w:unhideWhenUsed/>
    <w:rsid w:val="00CA0E75"/>
    <w:pPr>
      <w:spacing w:after="120"/>
      <w:ind w:left="566"/>
      <w:contextualSpacing/>
    </w:pPr>
  </w:style>
  <w:style w:type="paragraph" w:styleId="ListContinue3">
    <w:name w:val="List Continue 3"/>
    <w:basedOn w:val="Normal"/>
    <w:uiPriority w:val="99"/>
    <w:semiHidden/>
    <w:unhideWhenUsed/>
    <w:rsid w:val="00CA0E75"/>
    <w:pPr>
      <w:spacing w:after="120"/>
      <w:ind w:left="849"/>
      <w:contextualSpacing/>
    </w:pPr>
  </w:style>
  <w:style w:type="paragraph" w:styleId="ListContinue4">
    <w:name w:val="List Continue 4"/>
    <w:basedOn w:val="Normal"/>
    <w:uiPriority w:val="99"/>
    <w:semiHidden/>
    <w:unhideWhenUsed/>
    <w:rsid w:val="00CA0E75"/>
    <w:pPr>
      <w:spacing w:after="120"/>
      <w:ind w:left="1132"/>
      <w:contextualSpacing/>
    </w:pPr>
  </w:style>
  <w:style w:type="paragraph" w:styleId="ListContinue5">
    <w:name w:val="List Continue 5"/>
    <w:basedOn w:val="Normal"/>
    <w:uiPriority w:val="99"/>
    <w:semiHidden/>
    <w:unhideWhenUsed/>
    <w:rsid w:val="00CA0E75"/>
    <w:pPr>
      <w:spacing w:after="120"/>
      <w:ind w:left="1415"/>
      <w:contextualSpacing/>
    </w:pPr>
  </w:style>
  <w:style w:type="paragraph" w:styleId="ListNumber">
    <w:name w:val="List Number"/>
    <w:basedOn w:val="Normal"/>
    <w:uiPriority w:val="99"/>
    <w:semiHidden/>
    <w:unhideWhenUsed/>
    <w:rsid w:val="00CA0E75"/>
    <w:pPr>
      <w:numPr>
        <w:numId w:val="9"/>
      </w:numPr>
      <w:contextualSpacing/>
    </w:pPr>
  </w:style>
  <w:style w:type="paragraph" w:styleId="ListNumber2">
    <w:name w:val="List Number 2"/>
    <w:basedOn w:val="Normal"/>
    <w:uiPriority w:val="99"/>
    <w:semiHidden/>
    <w:unhideWhenUsed/>
    <w:rsid w:val="00CA0E75"/>
    <w:pPr>
      <w:numPr>
        <w:numId w:val="10"/>
      </w:numPr>
      <w:contextualSpacing/>
    </w:pPr>
  </w:style>
  <w:style w:type="paragraph" w:styleId="ListNumber3">
    <w:name w:val="List Number 3"/>
    <w:basedOn w:val="Normal"/>
    <w:uiPriority w:val="99"/>
    <w:semiHidden/>
    <w:unhideWhenUsed/>
    <w:rsid w:val="00CA0E75"/>
    <w:pPr>
      <w:numPr>
        <w:numId w:val="11"/>
      </w:numPr>
      <w:contextualSpacing/>
    </w:pPr>
  </w:style>
  <w:style w:type="paragraph" w:styleId="ListNumber4">
    <w:name w:val="List Number 4"/>
    <w:basedOn w:val="Normal"/>
    <w:uiPriority w:val="99"/>
    <w:semiHidden/>
    <w:unhideWhenUsed/>
    <w:rsid w:val="00CA0E75"/>
    <w:pPr>
      <w:numPr>
        <w:numId w:val="12"/>
      </w:numPr>
      <w:contextualSpacing/>
    </w:pPr>
  </w:style>
  <w:style w:type="paragraph" w:styleId="ListNumber5">
    <w:name w:val="List Number 5"/>
    <w:basedOn w:val="Normal"/>
    <w:uiPriority w:val="99"/>
    <w:semiHidden/>
    <w:unhideWhenUsed/>
    <w:rsid w:val="00CA0E75"/>
    <w:pPr>
      <w:numPr>
        <w:numId w:val="13"/>
      </w:numPr>
      <w:contextualSpacing/>
    </w:pPr>
  </w:style>
  <w:style w:type="paragraph" w:styleId="ListParagraph">
    <w:name w:val="List Paragraph"/>
    <w:basedOn w:val="Normal"/>
    <w:uiPriority w:val="99"/>
    <w:semiHidden/>
    <w:qFormat/>
    <w:rsid w:val="00310C40"/>
    <w:pPr>
      <w:ind w:left="720"/>
      <w:contextualSpacing/>
    </w:pPr>
  </w:style>
  <w:style w:type="paragraph" w:styleId="MacroText">
    <w:name w:val="macro"/>
    <w:link w:val="MacroTextChar"/>
    <w:uiPriority w:val="99"/>
    <w:semiHidden/>
    <w:unhideWhenUsed/>
    <w:rsid w:val="00CA0E75"/>
    <w:pPr>
      <w:tabs>
        <w:tab w:val="left" w:pos="480"/>
        <w:tab w:val="left" w:pos="960"/>
        <w:tab w:val="left" w:pos="1440"/>
        <w:tab w:val="left" w:pos="1920"/>
        <w:tab w:val="left" w:pos="2400"/>
        <w:tab w:val="left" w:pos="2880"/>
        <w:tab w:val="left" w:pos="3360"/>
        <w:tab w:val="left" w:pos="3840"/>
        <w:tab w:val="left" w:pos="4320"/>
      </w:tabs>
    </w:pPr>
    <w:rPr>
      <w:rFonts w:ascii="Consolas" w:hAnsi="Consolas" w:cs="Consolas"/>
      <w:lang w:val="en-GB"/>
    </w:rPr>
  </w:style>
  <w:style w:type="character" w:customStyle="1" w:styleId="MacroTextChar">
    <w:name w:val="Macro Text Char"/>
    <w:basedOn w:val="DefaultParagraphFont"/>
    <w:link w:val="MacroText"/>
    <w:uiPriority w:val="99"/>
    <w:semiHidden/>
    <w:rsid w:val="00CA0E75"/>
    <w:rPr>
      <w:rFonts w:ascii="Consolas" w:hAnsi="Consolas" w:cs="Consolas"/>
      <w:lang w:val="en-GB"/>
    </w:rPr>
  </w:style>
  <w:style w:type="paragraph" w:styleId="MessageHeader">
    <w:name w:val="Message Header"/>
    <w:basedOn w:val="Normal"/>
    <w:link w:val="MessageHeaderChar"/>
    <w:uiPriority w:val="99"/>
    <w:semiHidden/>
    <w:unhideWhenUsed/>
    <w:rsid w:val="00CA0E7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rPr>
  </w:style>
  <w:style w:type="character" w:customStyle="1" w:styleId="MessageHeaderChar">
    <w:name w:val="Message Header Char"/>
    <w:basedOn w:val="DefaultParagraphFont"/>
    <w:link w:val="MessageHeader"/>
    <w:uiPriority w:val="99"/>
    <w:semiHidden/>
    <w:rsid w:val="00CA0E75"/>
    <w:rPr>
      <w:rFonts w:asciiTheme="majorHAnsi" w:eastAsiaTheme="majorEastAsia" w:hAnsiTheme="majorHAnsi" w:cstheme="majorBidi"/>
      <w:sz w:val="24"/>
      <w:szCs w:val="24"/>
      <w:shd w:val="pct20" w:color="auto" w:fill="auto"/>
      <w:lang w:val="en-GB"/>
    </w:rPr>
  </w:style>
  <w:style w:type="paragraph" w:styleId="NoSpacing">
    <w:name w:val="No Spacing"/>
    <w:uiPriority w:val="99"/>
    <w:semiHidden/>
    <w:qFormat/>
    <w:rsid w:val="00310C40"/>
    <w:rPr>
      <w:rFonts w:ascii="Times" w:hAnsi="Times"/>
      <w:szCs w:val="24"/>
      <w:lang w:val="en-GB"/>
    </w:rPr>
  </w:style>
  <w:style w:type="paragraph" w:styleId="NormalIndent">
    <w:name w:val="Normal Indent"/>
    <w:basedOn w:val="Normal"/>
    <w:uiPriority w:val="99"/>
    <w:semiHidden/>
    <w:unhideWhenUsed/>
    <w:rsid w:val="00CA0E75"/>
    <w:pPr>
      <w:ind w:left="708"/>
    </w:pPr>
  </w:style>
  <w:style w:type="paragraph" w:styleId="NoteHeading">
    <w:name w:val="Note Heading"/>
    <w:basedOn w:val="Normal"/>
    <w:next w:val="Normal"/>
    <w:link w:val="NoteHeadingChar"/>
    <w:uiPriority w:val="99"/>
    <w:semiHidden/>
    <w:unhideWhenUsed/>
    <w:rsid w:val="00CA0E75"/>
  </w:style>
  <w:style w:type="character" w:customStyle="1" w:styleId="NoteHeadingChar">
    <w:name w:val="Note Heading Char"/>
    <w:basedOn w:val="DefaultParagraphFont"/>
    <w:link w:val="NoteHeading"/>
    <w:uiPriority w:val="99"/>
    <w:semiHidden/>
    <w:rsid w:val="00CA0E75"/>
    <w:rPr>
      <w:rFonts w:ascii="Times" w:hAnsi="Times"/>
      <w:szCs w:val="24"/>
      <w:lang w:val="en-GB"/>
    </w:rPr>
  </w:style>
  <w:style w:type="paragraph" w:styleId="PlainText">
    <w:name w:val="Plain Text"/>
    <w:basedOn w:val="Normal"/>
    <w:link w:val="PlainTextChar"/>
    <w:uiPriority w:val="99"/>
    <w:semiHidden/>
    <w:unhideWhenUsed/>
    <w:rsid w:val="00CA0E75"/>
    <w:rPr>
      <w:rFonts w:ascii="Consolas" w:hAnsi="Consolas" w:cs="Consolas"/>
      <w:sz w:val="21"/>
      <w:szCs w:val="21"/>
    </w:rPr>
  </w:style>
  <w:style w:type="character" w:customStyle="1" w:styleId="PlainTextChar">
    <w:name w:val="Plain Text Char"/>
    <w:basedOn w:val="DefaultParagraphFont"/>
    <w:link w:val="PlainText"/>
    <w:uiPriority w:val="99"/>
    <w:semiHidden/>
    <w:rsid w:val="00CA0E75"/>
    <w:rPr>
      <w:rFonts w:ascii="Consolas" w:hAnsi="Consolas" w:cs="Consolas"/>
      <w:sz w:val="21"/>
      <w:szCs w:val="21"/>
      <w:lang w:val="en-GB"/>
    </w:rPr>
  </w:style>
  <w:style w:type="paragraph" w:styleId="Quote">
    <w:name w:val="Quote"/>
    <w:basedOn w:val="Normal"/>
    <w:next w:val="Normal"/>
    <w:link w:val="QuoteChar"/>
    <w:uiPriority w:val="99"/>
    <w:semiHidden/>
    <w:qFormat/>
    <w:rsid w:val="00310C40"/>
    <w:rPr>
      <w:i/>
      <w:iCs/>
      <w:color w:val="000000" w:themeColor="text1"/>
    </w:rPr>
  </w:style>
  <w:style w:type="character" w:customStyle="1" w:styleId="QuoteChar">
    <w:name w:val="Quote Char"/>
    <w:basedOn w:val="DefaultParagraphFont"/>
    <w:link w:val="Quote"/>
    <w:uiPriority w:val="99"/>
    <w:semiHidden/>
    <w:rsid w:val="00310C40"/>
    <w:rPr>
      <w:rFonts w:ascii="Times" w:hAnsi="Times"/>
      <w:i/>
      <w:iCs/>
      <w:color w:val="000000" w:themeColor="text1"/>
      <w:szCs w:val="24"/>
      <w:lang w:val="en-GB"/>
    </w:rPr>
  </w:style>
  <w:style w:type="paragraph" w:styleId="Salutation">
    <w:name w:val="Salutation"/>
    <w:basedOn w:val="Normal"/>
    <w:next w:val="Normal"/>
    <w:link w:val="SalutationChar"/>
    <w:uiPriority w:val="99"/>
    <w:semiHidden/>
    <w:unhideWhenUsed/>
    <w:rsid w:val="00CA0E75"/>
  </w:style>
  <w:style w:type="character" w:customStyle="1" w:styleId="SalutationChar">
    <w:name w:val="Salutation Char"/>
    <w:basedOn w:val="DefaultParagraphFont"/>
    <w:link w:val="Salutation"/>
    <w:uiPriority w:val="99"/>
    <w:semiHidden/>
    <w:rsid w:val="00CA0E75"/>
    <w:rPr>
      <w:rFonts w:ascii="Times" w:hAnsi="Times"/>
      <w:szCs w:val="24"/>
      <w:lang w:val="en-GB"/>
    </w:rPr>
  </w:style>
  <w:style w:type="paragraph" w:styleId="Signature">
    <w:name w:val="Signature"/>
    <w:basedOn w:val="Normal"/>
    <w:link w:val="SignatureChar"/>
    <w:uiPriority w:val="99"/>
    <w:semiHidden/>
    <w:unhideWhenUsed/>
    <w:rsid w:val="00CA0E75"/>
    <w:pPr>
      <w:ind w:left="4252"/>
    </w:pPr>
  </w:style>
  <w:style w:type="character" w:customStyle="1" w:styleId="SignatureChar">
    <w:name w:val="Signature Char"/>
    <w:basedOn w:val="DefaultParagraphFont"/>
    <w:link w:val="Signature"/>
    <w:uiPriority w:val="99"/>
    <w:semiHidden/>
    <w:rsid w:val="00CA0E75"/>
    <w:rPr>
      <w:rFonts w:ascii="Times" w:hAnsi="Times"/>
      <w:szCs w:val="24"/>
      <w:lang w:val="en-GB"/>
    </w:rPr>
  </w:style>
  <w:style w:type="paragraph" w:styleId="Subtitle">
    <w:name w:val="Subtitle"/>
    <w:basedOn w:val="Normal"/>
    <w:next w:val="Normal"/>
    <w:link w:val="SubtitleChar"/>
    <w:uiPriority w:val="99"/>
    <w:semiHidden/>
    <w:qFormat/>
    <w:rsid w:val="00310C40"/>
    <w:pPr>
      <w:numPr>
        <w:ilvl w:val="1"/>
      </w:numPr>
    </w:pPr>
    <w:rPr>
      <w:rFonts w:asciiTheme="majorHAnsi" w:eastAsiaTheme="majorEastAsia" w:hAnsiTheme="majorHAnsi" w:cstheme="majorBidi"/>
      <w:i/>
      <w:iCs/>
      <w:color w:val="4F81BD" w:themeColor="accent1"/>
      <w:spacing w:val="15"/>
      <w:sz w:val="24"/>
    </w:rPr>
  </w:style>
  <w:style w:type="character" w:customStyle="1" w:styleId="SubtitleChar">
    <w:name w:val="Subtitle Char"/>
    <w:basedOn w:val="DefaultParagraphFont"/>
    <w:link w:val="Subtitle"/>
    <w:uiPriority w:val="99"/>
    <w:semiHidden/>
    <w:rsid w:val="00310C40"/>
    <w:rPr>
      <w:rFonts w:asciiTheme="majorHAnsi" w:eastAsiaTheme="majorEastAsia" w:hAnsiTheme="majorHAnsi" w:cstheme="majorBidi"/>
      <w:i/>
      <w:iCs/>
      <w:color w:val="4F81BD" w:themeColor="accent1"/>
      <w:spacing w:val="15"/>
      <w:sz w:val="24"/>
      <w:szCs w:val="24"/>
      <w:lang w:val="en-GB"/>
    </w:rPr>
  </w:style>
  <w:style w:type="paragraph" w:styleId="TableofAuthorities">
    <w:name w:val="table of authorities"/>
    <w:basedOn w:val="Normal"/>
    <w:next w:val="Normal"/>
    <w:uiPriority w:val="99"/>
    <w:semiHidden/>
    <w:unhideWhenUsed/>
    <w:rsid w:val="00CA0E75"/>
    <w:pPr>
      <w:ind w:left="200" w:hanging="200"/>
    </w:pPr>
  </w:style>
  <w:style w:type="paragraph" w:styleId="Title">
    <w:name w:val="Title"/>
    <w:basedOn w:val="Normal"/>
    <w:next w:val="Normal"/>
    <w:link w:val="TitleChar"/>
    <w:uiPriority w:val="99"/>
    <w:semiHidden/>
    <w:qFormat/>
    <w:rsid w:val="00310C40"/>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99"/>
    <w:semiHidden/>
    <w:rsid w:val="00310C40"/>
    <w:rPr>
      <w:rFonts w:asciiTheme="majorHAnsi" w:eastAsiaTheme="majorEastAsia" w:hAnsiTheme="majorHAnsi" w:cstheme="majorBidi"/>
      <w:color w:val="17365D" w:themeColor="text2" w:themeShade="BF"/>
      <w:spacing w:val="5"/>
      <w:kern w:val="28"/>
      <w:sz w:val="52"/>
      <w:szCs w:val="52"/>
      <w:lang w:val="en-GB"/>
    </w:rPr>
  </w:style>
  <w:style w:type="paragraph" w:styleId="TOAHeading">
    <w:name w:val="toa heading"/>
    <w:basedOn w:val="Normal"/>
    <w:next w:val="Normal"/>
    <w:uiPriority w:val="99"/>
    <w:semiHidden/>
    <w:unhideWhenUsed/>
    <w:rsid w:val="00CA0E75"/>
    <w:pPr>
      <w:spacing w:before="120"/>
    </w:pPr>
    <w:rPr>
      <w:rFonts w:asciiTheme="majorHAnsi" w:eastAsiaTheme="majorEastAsia" w:hAnsiTheme="majorHAnsi" w:cstheme="majorBidi"/>
      <w:b/>
      <w:bCs/>
      <w:sz w:val="24"/>
    </w:rPr>
  </w:style>
  <w:style w:type="paragraph" w:styleId="TOC1">
    <w:name w:val="toc 1"/>
    <w:basedOn w:val="Normal"/>
    <w:next w:val="Normal"/>
    <w:autoRedefine/>
    <w:uiPriority w:val="39"/>
    <w:semiHidden/>
    <w:unhideWhenUsed/>
    <w:rsid w:val="00CA0E75"/>
    <w:pPr>
      <w:spacing w:after="100"/>
    </w:pPr>
  </w:style>
  <w:style w:type="paragraph" w:styleId="TOC2">
    <w:name w:val="toc 2"/>
    <w:basedOn w:val="Normal"/>
    <w:next w:val="Normal"/>
    <w:autoRedefine/>
    <w:uiPriority w:val="39"/>
    <w:semiHidden/>
    <w:unhideWhenUsed/>
    <w:rsid w:val="00CA0E75"/>
    <w:pPr>
      <w:spacing w:after="100"/>
      <w:ind w:left="200"/>
    </w:pPr>
  </w:style>
  <w:style w:type="paragraph" w:styleId="TOC3">
    <w:name w:val="toc 3"/>
    <w:basedOn w:val="Normal"/>
    <w:next w:val="Normal"/>
    <w:autoRedefine/>
    <w:uiPriority w:val="39"/>
    <w:semiHidden/>
    <w:unhideWhenUsed/>
    <w:rsid w:val="00CA0E75"/>
    <w:pPr>
      <w:spacing w:after="100"/>
      <w:ind w:left="400"/>
    </w:pPr>
  </w:style>
  <w:style w:type="paragraph" w:styleId="TOC4">
    <w:name w:val="toc 4"/>
    <w:basedOn w:val="Normal"/>
    <w:next w:val="Normal"/>
    <w:autoRedefine/>
    <w:uiPriority w:val="39"/>
    <w:semiHidden/>
    <w:unhideWhenUsed/>
    <w:rsid w:val="00CA0E75"/>
    <w:pPr>
      <w:spacing w:after="100"/>
      <w:ind w:left="600"/>
    </w:pPr>
  </w:style>
  <w:style w:type="paragraph" w:styleId="TOC5">
    <w:name w:val="toc 5"/>
    <w:basedOn w:val="Normal"/>
    <w:next w:val="Normal"/>
    <w:autoRedefine/>
    <w:uiPriority w:val="39"/>
    <w:semiHidden/>
    <w:unhideWhenUsed/>
    <w:rsid w:val="00CA0E75"/>
    <w:pPr>
      <w:spacing w:after="100"/>
      <w:ind w:left="800"/>
    </w:pPr>
  </w:style>
  <w:style w:type="paragraph" w:styleId="TOC6">
    <w:name w:val="toc 6"/>
    <w:basedOn w:val="Normal"/>
    <w:next w:val="Normal"/>
    <w:autoRedefine/>
    <w:uiPriority w:val="39"/>
    <w:semiHidden/>
    <w:unhideWhenUsed/>
    <w:rsid w:val="00CA0E75"/>
    <w:pPr>
      <w:spacing w:after="100"/>
      <w:ind w:left="1000"/>
    </w:pPr>
  </w:style>
  <w:style w:type="paragraph" w:styleId="TOC7">
    <w:name w:val="toc 7"/>
    <w:basedOn w:val="Normal"/>
    <w:next w:val="Normal"/>
    <w:autoRedefine/>
    <w:uiPriority w:val="39"/>
    <w:semiHidden/>
    <w:unhideWhenUsed/>
    <w:rsid w:val="00CA0E75"/>
    <w:pPr>
      <w:spacing w:after="100"/>
      <w:ind w:left="1200"/>
    </w:pPr>
  </w:style>
  <w:style w:type="paragraph" w:styleId="TOC8">
    <w:name w:val="toc 8"/>
    <w:basedOn w:val="Normal"/>
    <w:next w:val="Normal"/>
    <w:autoRedefine/>
    <w:uiPriority w:val="39"/>
    <w:semiHidden/>
    <w:unhideWhenUsed/>
    <w:rsid w:val="00CA0E75"/>
    <w:pPr>
      <w:spacing w:after="100"/>
      <w:ind w:left="1400"/>
    </w:pPr>
  </w:style>
  <w:style w:type="paragraph" w:styleId="TOC9">
    <w:name w:val="toc 9"/>
    <w:basedOn w:val="Normal"/>
    <w:next w:val="Normal"/>
    <w:autoRedefine/>
    <w:uiPriority w:val="39"/>
    <w:semiHidden/>
    <w:unhideWhenUsed/>
    <w:rsid w:val="00CA0E75"/>
    <w:pPr>
      <w:spacing w:after="100"/>
      <w:ind w:left="1600"/>
    </w:pPr>
  </w:style>
  <w:style w:type="paragraph" w:styleId="TOCHeading">
    <w:name w:val="TOC Heading"/>
    <w:basedOn w:val="Heading1"/>
    <w:next w:val="Normal"/>
    <w:uiPriority w:val="39"/>
    <w:semiHidden/>
    <w:unhideWhenUsed/>
    <w:qFormat/>
    <w:rsid w:val="00310C40"/>
    <w:pPr>
      <w:keepLines/>
      <w:spacing w:before="480" w:after="0"/>
      <w:jc w:val="left"/>
      <w:outlineLvl w:val="9"/>
    </w:pPr>
    <w:rPr>
      <w:rFonts w:asciiTheme="majorHAnsi" w:eastAsiaTheme="majorEastAsia" w:hAnsiTheme="majorHAnsi" w:cstheme="majorBidi"/>
      <w:caps w:val="0"/>
      <w:color w:val="365F91" w:themeColor="accent1" w:themeShade="BF"/>
      <w:kern w:val="0"/>
      <w:szCs w:val="28"/>
    </w:rPr>
  </w:style>
  <w:style w:type="paragraph" w:customStyle="1" w:styleId="JACoWNumberedlist">
    <w:name w:val="JACoW_Numbered list"/>
    <w:basedOn w:val="BodyTextIndent"/>
    <w:link w:val="JACoWNumberedlistChar"/>
    <w:qFormat/>
    <w:rsid w:val="00310C40"/>
    <w:pPr>
      <w:numPr>
        <w:numId w:val="19"/>
      </w:numPr>
      <w:ind w:left="391" w:hanging="204"/>
    </w:pPr>
    <w:rPr>
      <w:kern w:val="16"/>
    </w:rPr>
  </w:style>
  <w:style w:type="character" w:customStyle="1" w:styleId="JACoWReference1-9when10RefsChar">
    <w:name w:val="JACoW_Reference #1-9 when &gt;= 10 Refs Char"/>
    <w:basedOn w:val="DefaultParagraphFont"/>
    <w:link w:val="JACoWReference1-9when10Refs"/>
    <w:rsid w:val="001517C2"/>
    <w:rPr>
      <w:rFonts w:cs="Consolas"/>
      <w:sz w:val="18"/>
      <w:szCs w:val="18"/>
      <w:lang w:val="en-GB"/>
    </w:rPr>
  </w:style>
  <w:style w:type="paragraph" w:customStyle="1" w:styleId="JACoWAbstractHeading">
    <w:name w:val="JACoW_Abstract_Heading"/>
    <w:basedOn w:val="Normal"/>
    <w:next w:val="JACoWThirdLevelHeading"/>
    <w:link w:val="JACoWAbstractHeadingChar"/>
    <w:autoRedefine/>
    <w:qFormat/>
    <w:rsid w:val="003C1B1E"/>
    <w:pPr>
      <w:suppressAutoHyphens/>
      <w:spacing w:before="0" w:after="60"/>
    </w:pPr>
    <w:rPr>
      <w:i/>
      <w:sz w:val="24"/>
    </w:rPr>
  </w:style>
  <w:style w:type="paragraph" w:customStyle="1" w:styleId="JACoWReferenceItalics">
    <w:name w:val="JACoW_Reference Italics"/>
    <w:basedOn w:val="BodyTextNoIndent"/>
    <w:link w:val="JACoWReferenceItalicsChar"/>
    <w:qFormat/>
    <w:rsid w:val="001663F5"/>
    <w:rPr>
      <w:i/>
      <w:sz w:val="18"/>
    </w:rPr>
  </w:style>
  <w:style w:type="character" w:customStyle="1" w:styleId="JACoWReferenceurldoiChar">
    <w:name w:val="JACoW_Reference url_doi Char"/>
    <w:basedOn w:val="JACoWReference1-9when10RefsChar"/>
    <w:link w:val="JACoWReferenceurldoi"/>
    <w:rsid w:val="0041146C"/>
    <w:rPr>
      <w:rFonts w:ascii="Liberation Mono" w:hAnsi="Liberation Mono" w:cs="Courier New"/>
      <w:sz w:val="16"/>
      <w:szCs w:val="15"/>
      <w:lang w:val="en-GB"/>
    </w:rPr>
  </w:style>
  <w:style w:type="character" w:customStyle="1" w:styleId="JACoWReferenceItalicsChar">
    <w:name w:val="JACoW_Reference Italics Char"/>
    <w:basedOn w:val="JACoWReference1-9when10RefsChar"/>
    <w:link w:val="JACoWReferenceItalics"/>
    <w:rsid w:val="001663F5"/>
    <w:rPr>
      <w:rFonts w:cs="Consolas"/>
      <w:i/>
      <w:sz w:val="18"/>
      <w:szCs w:val="18"/>
      <w:lang w:val="en-GB"/>
    </w:rPr>
  </w:style>
  <w:style w:type="character" w:customStyle="1" w:styleId="JACoWReference10onwardsChar">
    <w:name w:val="JACoW_Reference #10 onwards Char"/>
    <w:basedOn w:val="JACoWReferencewhen9RefsChar"/>
    <w:link w:val="JACoWReference10onwards"/>
    <w:rsid w:val="002425CA"/>
    <w:rPr>
      <w:kern w:val="16"/>
      <w:sz w:val="18"/>
      <w:szCs w:val="18"/>
      <w:lang w:val="en-GB"/>
    </w:rPr>
  </w:style>
  <w:style w:type="character" w:customStyle="1" w:styleId="JACoWNumberedlistChar">
    <w:name w:val="JACoW_Numbered list Char"/>
    <w:basedOn w:val="BodyTextIndentChar"/>
    <w:link w:val="JACoWNumberedlist"/>
    <w:rsid w:val="00310C40"/>
    <w:rPr>
      <w:kern w:val="16"/>
      <w:lang w:val="en-GB"/>
    </w:rPr>
  </w:style>
  <w:style w:type="character" w:customStyle="1" w:styleId="JACoWAbstractHeadingChar">
    <w:name w:val="JACoW_Abstract_Heading Char"/>
    <w:basedOn w:val="DefaultParagraphFont"/>
    <w:link w:val="JACoWAbstractHeading"/>
    <w:rsid w:val="003C1B1E"/>
    <w:rPr>
      <w:i/>
      <w:kern w:val="16"/>
      <w:sz w:val="24"/>
      <w:szCs w:val="18"/>
      <w:lang w:val="en-GB"/>
    </w:rPr>
  </w:style>
  <w:style w:type="character" w:styleId="LineNumber">
    <w:name w:val="line number"/>
    <w:basedOn w:val="DefaultParagraphFont"/>
    <w:uiPriority w:val="99"/>
    <w:semiHidden/>
    <w:unhideWhenUsed/>
    <w:rsid w:val="000F1BAC"/>
  </w:style>
  <w:style w:type="paragraph" w:customStyle="1" w:styleId="JACoWTableCaption">
    <w:name w:val="JACoW_Table_Caption"/>
    <w:basedOn w:val="Caption"/>
    <w:qFormat/>
    <w:rsid w:val="0041146C"/>
  </w:style>
  <w:style w:type="paragraph" w:customStyle="1" w:styleId="JACoWFigCaption">
    <w:name w:val="JACoW_Fig_Caption"/>
    <w:basedOn w:val="Caption"/>
    <w:qFormat/>
    <w:rsid w:val="0041146C"/>
    <w:pPr>
      <w:spacing w:after="120"/>
    </w:pPr>
  </w:style>
  <w:style w:type="paragraph" w:customStyle="1" w:styleId="JACoWFigCaptionMultiLine">
    <w:name w:val="JACoW_Fig_Caption Multi Line"/>
    <w:basedOn w:val="Normal"/>
    <w:qFormat/>
    <w:rsid w:val="0041146C"/>
    <w:pPr>
      <w:spacing w:before="60" w:after="120"/>
      <w:jc w:val="both"/>
    </w:pPr>
  </w:style>
  <w:style w:type="paragraph" w:customStyle="1" w:styleId="JACoWFootnoteText">
    <w:name w:val="JACoW_Footnote Text"/>
    <w:basedOn w:val="FootnoteText"/>
    <w:qFormat/>
    <w:rsid w:val="00246CC5"/>
    <w:pPr>
      <w:jc w:val="both"/>
    </w:pPr>
  </w:style>
  <w:style w:type="paragraph" w:customStyle="1" w:styleId="JACoWTableContextText">
    <w:name w:val="JACoW_Table_Context_Text"/>
    <w:basedOn w:val="JACoWThirdLevelHeading"/>
    <w:qFormat/>
    <w:rsid w:val="00733470"/>
    <w:pPr>
      <w:spacing w:before="60" w:after="60"/>
      <w:ind w:firstLine="0"/>
    </w:pPr>
  </w:style>
  <w:style w:type="paragraph" w:customStyle="1" w:styleId="JACoWTableColumnHeading">
    <w:name w:val="JACoW_Table_Column_Heading"/>
    <w:basedOn w:val="JACoWTableContextText"/>
    <w:qFormat/>
    <w:rsid w:val="00733470"/>
    <w:pPr>
      <w:jc w:val="center"/>
    </w:pPr>
    <w:rPr>
      <w:b/>
    </w:rPr>
  </w:style>
  <w:style w:type="paragraph" w:customStyle="1" w:styleId="JACoWTableCaptionMultiLine">
    <w:name w:val="JACoW_Table_Caption Multi Line"/>
    <w:basedOn w:val="JACoWTableCaption"/>
    <w:qFormat/>
    <w:rsid w:val="00DA491C"/>
    <w:pPr>
      <w:jc w:val="both"/>
    </w:pPr>
  </w:style>
  <w:style w:type="character" w:styleId="UnresolvedMention">
    <w:name w:val="Unresolved Mention"/>
    <w:basedOn w:val="DefaultParagraphFont"/>
    <w:uiPriority w:val="99"/>
    <w:semiHidden/>
    <w:unhideWhenUsed/>
    <w:rsid w:val="00E57E46"/>
    <w:rPr>
      <w:color w:val="605E5C"/>
      <w:shd w:val="clear" w:color="auto" w:fill="E1DFDD"/>
    </w:rPr>
  </w:style>
  <w:style w:type="character" w:customStyle="1" w:styleId="JACoWDOIChar">
    <w:name w:val="JACoW_DOI Char"/>
    <w:basedOn w:val="DefaultParagraphFont"/>
    <w:link w:val="JACoWDOI"/>
    <w:rsid w:val="0023141B"/>
    <w:rPr>
      <w:kern w:val="16"/>
      <w:sz w:val="18"/>
      <w:szCs w:val="18"/>
      <w:lang w:val="de-DE"/>
    </w:rPr>
  </w:style>
  <w:style w:type="paragraph" w:customStyle="1" w:styleId="JACoWEquationBodyTextIndentRightBefore6ptAfter6pt">
    <w:name w:val="JACoW_Equation_Body Text Indent + Right Before:  6 pt After:  6 pt"/>
    <w:basedOn w:val="BodyTextIndent"/>
    <w:rsid w:val="00A408AF"/>
    <w:pPr>
      <w:spacing w:before="120" w:after="120"/>
      <w:ind w:firstLine="0"/>
      <w:jc w:val="right"/>
    </w:pPr>
  </w:style>
  <w:style w:type="character" w:styleId="FollowedHyperlink">
    <w:name w:val="FollowedHyperlink"/>
    <w:basedOn w:val="DefaultParagraphFont"/>
    <w:uiPriority w:val="99"/>
    <w:semiHidden/>
    <w:unhideWhenUsed/>
    <w:rsid w:val="00227D24"/>
    <w:rPr>
      <w:color w:val="800080" w:themeColor="followedHyperlink"/>
      <w:u w:val="single"/>
    </w:rPr>
  </w:style>
  <w:style w:type="paragraph" w:customStyle="1" w:styleId="StyleJACoWAbstractHeadingBefore0pt">
    <w:name w:val="Style JACoW_Abstract_Heading + Before:  0 pt"/>
    <w:basedOn w:val="JACoWAbstractHeading"/>
    <w:rsid w:val="00A408AF"/>
    <w:rPr>
      <w:iCs/>
      <w:szCs w:val="20"/>
    </w:rPr>
  </w:style>
  <w:style w:type="paragraph" w:customStyle="1" w:styleId="StyleJACoWAuthorListSuperscript">
    <w:name w:val="Style JACoW_Author List + Superscript"/>
    <w:basedOn w:val="JACoWAuthorList"/>
    <w:next w:val="JACoWAuthorList"/>
    <w:rsid w:val="006414A0"/>
    <w:rPr>
      <w:vertAlign w:val="superscript"/>
    </w:rPr>
  </w:style>
  <w:style w:type="paragraph" w:customStyle="1" w:styleId="StyleJACoWReference10onwardsItalic">
    <w:name w:val="Style JACoW_Reference #10 onwards + Italic"/>
    <w:basedOn w:val="JACoWReference10onwards"/>
    <w:rsid w:val="0078789C"/>
    <w:rPr>
      <w:i/>
      <w:iCs/>
    </w:rPr>
  </w:style>
  <w:style w:type="paragraph" w:customStyle="1" w:styleId="JACoWParagrapghAfter3pt">
    <w:name w:val="JACoW_Paragrapgh + After: 3 pt"/>
    <w:basedOn w:val="BodyTextIndent"/>
    <w:rsid w:val="00B200C7"/>
    <w:pPr>
      <w:spacing w:after="60"/>
    </w:pPr>
  </w:style>
  <w:style w:type="paragraph" w:customStyle="1" w:styleId="JACoWParagrapghAfter0pt">
    <w:name w:val="JACoW_Paragrapgh + After:  0 pt"/>
    <w:basedOn w:val="BodyTextIndent"/>
    <w:next w:val="BodyTextIndent"/>
    <w:rsid w:val="00B200C7"/>
  </w:style>
  <w:style w:type="paragraph" w:customStyle="1" w:styleId="StyleJACoWReference10onwards">
    <w:name w:val="Style JACoW_Reference #10 onwards +"/>
    <w:basedOn w:val="JACoWReference10onwards"/>
    <w:autoRedefine/>
    <w:rsid w:val="002425CA"/>
  </w:style>
  <w:style w:type="character" w:styleId="Strong">
    <w:name w:val="Strong"/>
    <w:basedOn w:val="DefaultParagraphFont"/>
    <w:uiPriority w:val="22"/>
    <w:qFormat/>
    <w:rsid w:val="003C68AC"/>
    <w:rPr>
      <w:b/>
      <w:bCs/>
    </w:rPr>
  </w:style>
  <w:style w:type="character" w:customStyle="1" w:styleId="vkekvd">
    <w:name w:val="vkekvd"/>
    <w:basedOn w:val="DefaultParagraphFont"/>
    <w:rsid w:val="003C68AC"/>
  </w:style>
  <w:style w:type="paragraph" w:styleId="Revision">
    <w:name w:val="Revision"/>
    <w:hidden/>
    <w:uiPriority w:val="99"/>
    <w:semiHidden/>
    <w:rsid w:val="003C32E4"/>
    <w:rPr>
      <w:kern w:val="16"/>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355192">
      <w:bodyDiv w:val="1"/>
      <w:marLeft w:val="0"/>
      <w:marRight w:val="0"/>
      <w:marTop w:val="0"/>
      <w:marBottom w:val="0"/>
      <w:divBdr>
        <w:top w:val="none" w:sz="0" w:space="0" w:color="auto"/>
        <w:left w:val="none" w:sz="0" w:space="0" w:color="auto"/>
        <w:bottom w:val="none" w:sz="0" w:space="0" w:color="auto"/>
        <w:right w:val="none" w:sz="0" w:space="0" w:color="auto"/>
      </w:divBdr>
    </w:div>
    <w:div w:id="31076218">
      <w:bodyDiv w:val="1"/>
      <w:marLeft w:val="0"/>
      <w:marRight w:val="0"/>
      <w:marTop w:val="0"/>
      <w:marBottom w:val="0"/>
      <w:divBdr>
        <w:top w:val="none" w:sz="0" w:space="0" w:color="auto"/>
        <w:left w:val="none" w:sz="0" w:space="0" w:color="auto"/>
        <w:bottom w:val="none" w:sz="0" w:space="0" w:color="auto"/>
        <w:right w:val="none" w:sz="0" w:space="0" w:color="auto"/>
      </w:divBdr>
    </w:div>
    <w:div w:id="49350821">
      <w:bodyDiv w:val="1"/>
      <w:marLeft w:val="0"/>
      <w:marRight w:val="0"/>
      <w:marTop w:val="0"/>
      <w:marBottom w:val="0"/>
      <w:divBdr>
        <w:top w:val="none" w:sz="0" w:space="0" w:color="auto"/>
        <w:left w:val="none" w:sz="0" w:space="0" w:color="auto"/>
        <w:bottom w:val="none" w:sz="0" w:space="0" w:color="auto"/>
        <w:right w:val="none" w:sz="0" w:space="0" w:color="auto"/>
      </w:divBdr>
    </w:div>
    <w:div w:id="118453352">
      <w:bodyDiv w:val="1"/>
      <w:marLeft w:val="0"/>
      <w:marRight w:val="0"/>
      <w:marTop w:val="0"/>
      <w:marBottom w:val="0"/>
      <w:divBdr>
        <w:top w:val="none" w:sz="0" w:space="0" w:color="auto"/>
        <w:left w:val="none" w:sz="0" w:space="0" w:color="auto"/>
        <w:bottom w:val="none" w:sz="0" w:space="0" w:color="auto"/>
        <w:right w:val="none" w:sz="0" w:space="0" w:color="auto"/>
      </w:divBdr>
    </w:div>
    <w:div w:id="179399318">
      <w:bodyDiv w:val="1"/>
      <w:marLeft w:val="0"/>
      <w:marRight w:val="0"/>
      <w:marTop w:val="0"/>
      <w:marBottom w:val="0"/>
      <w:divBdr>
        <w:top w:val="none" w:sz="0" w:space="0" w:color="auto"/>
        <w:left w:val="none" w:sz="0" w:space="0" w:color="auto"/>
        <w:bottom w:val="none" w:sz="0" w:space="0" w:color="auto"/>
        <w:right w:val="none" w:sz="0" w:space="0" w:color="auto"/>
      </w:divBdr>
    </w:div>
    <w:div w:id="252855729">
      <w:bodyDiv w:val="1"/>
      <w:marLeft w:val="0"/>
      <w:marRight w:val="0"/>
      <w:marTop w:val="0"/>
      <w:marBottom w:val="0"/>
      <w:divBdr>
        <w:top w:val="none" w:sz="0" w:space="0" w:color="auto"/>
        <w:left w:val="none" w:sz="0" w:space="0" w:color="auto"/>
        <w:bottom w:val="none" w:sz="0" w:space="0" w:color="auto"/>
        <w:right w:val="none" w:sz="0" w:space="0" w:color="auto"/>
      </w:divBdr>
    </w:div>
    <w:div w:id="332032994">
      <w:bodyDiv w:val="1"/>
      <w:marLeft w:val="0"/>
      <w:marRight w:val="0"/>
      <w:marTop w:val="0"/>
      <w:marBottom w:val="0"/>
      <w:divBdr>
        <w:top w:val="none" w:sz="0" w:space="0" w:color="auto"/>
        <w:left w:val="none" w:sz="0" w:space="0" w:color="auto"/>
        <w:bottom w:val="none" w:sz="0" w:space="0" w:color="auto"/>
        <w:right w:val="none" w:sz="0" w:space="0" w:color="auto"/>
      </w:divBdr>
    </w:div>
    <w:div w:id="558781024">
      <w:bodyDiv w:val="1"/>
      <w:marLeft w:val="0"/>
      <w:marRight w:val="0"/>
      <w:marTop w:val="0"/>
      <w:marBottom w:val="0"/>
      <w:divBdr>
        <w:top w:val="none" w:sz="0" w:space="0" w:color="auto"/>
        <w:left w:val="none" w:sz="0" w:space="0" w:color="auto"/>
        <w:bottom w:val="none" w:sz="0" w:space="0" w:color="auto"/>
        <w:right w:val="none" w:sz="0" w:space="0" w:color="auto"/>
      </w:divBdr>
    </w:div>
    <w:div w:id="624236916">
      <w:bodyDiv w:val="1"/>
      <w:marLeft w:val="0"/>
      <w:marRight w:val="0"/>
      <w:marTop w:val="0"/>
      <w:marBottom w:val="0"/>
      <w:divBdr>
        <w:top w:val="none" w:sz="0" w:space="0" w:color="auto"/>
        <w:left w:val="none" w:sz="0" w:space="0" w:color="auto"/>
        <w:bottom w:val="none" w:sz="0" w:space="0" w:color="auto"/>
        <w:right w:val="none" w:sz="0" w:space="0" w:color="auto"/>
      </w:divBdr>
    </w:div>
    <w:div w:id="852690601">
      <w:bodyDiv w:val="1"/>
      <w:marLeft w:val="0"/>
      <w:marRight w:val="0"/>
      <w:marTop w:val="0"/>
      <w:marBottom w:val="0"/>
      <w:divBdr>
        <w:top w:val="none" w:sz="0" w:space="0" w:color="auto"/>
        <w:left w:val="none" w:sz="0" w:space="0" w:color="auto"/>
        <w:bottom w:val="none" w:sz="0" w:space="0" w:color="auto"/>
        <w:right w:val="none" w:sz="0" w:space="0" w:color="auto"/>
      </w:divBdr>
    </w:div>
    <w:div w:id="895235914">
      <w:bodyDiv w:val="1"/>
      <w:marLeft w:val="0"/>
      <w:marRight w:val="0"/>
      <w:marTop w:val="0"/>
      <w:marBottom w:val="0"/>
      <w:divBdr>
        <w:top w:val="none" w:sz="0" w:space="0" w:color="auto"/>
        <w:left w:val="none" w:sz="0" w:space="0" w:color="auto"/>
        <w:bottom w:val="none" w:sz="0" w:space="0" w:color="auto"/>
        <w:right w:val="none" w:sz="0" w:space="0" w:color="auto"/>
      </w:divBdr>
    </w:div>
    <w:div w:id="918565334">
      <w:bodyDiv w:val="1"/>
      <w:marLeft w:val="0"/>
      <w:marRight w:val="0"/>
      <w:marTop w:val="0"/>
      <w:marBottom w:val="0"/>
      <w:divBdr>
        <w:top w:val="none" w:sz="0" w:space="0" w:color="auto"/>
        <w:left w:val="none" w:sz="0" w:space="0" w:color="auto"/>
        <w:bottom w:val="none" w:sz="0" w:space="0" w:color="auto"/>
        <w:right w:val="none" w:sz="0" w:space="0" w:color="auto"/>
      </w:divBdr>
    </w:div>
    <w:div w:id="984891352">
      <w:bodyDiv w:val="1"/>
      <w:marLeft w:val="0"/>
      <w:marRight w:val="0"/>
      <w:marTop w:val="0"/>
      <w:marBottom w:val="0"/>
      <w:divBdr>
        <w:top w:val="none" w:sz="0" w:space="0" w:color="auto"/>
        <w:left w:val="none" w:sz="0" w:space="0" w:color="auto"/>
        <w:bottom w:val="none" w:sz="0" w:space="0" w:color="auto"/>
        <w:right w:val="none" w:sz="0" w:space="0" w:color="auto"/>
      </w:divBdr>
    </w:div>
    <w:div w:id="1022130226">
      <w:bodyDiv w:val="1"/>
      <w:marLeft w:val="0"/>
      <w:marRight w:val="0"/>
      <w:marTop w:val="0"/>
      <w:marBottom w:val="0"/>
      <w:divBdr>
        <w:top w:val="none" w:sz="0" w:space="0" w:color="auto"/>
        <w:left w:val="none" w:sz="0" w:space="0" w:color="auto"/>
        <w:bottom w:val="none" w:sz="0" w:space="0" w:color="auto"/>
        <w:right w:val="none" w:sz="0" w:space="0" w:color="auto"/>
      </w:divBdr>
    </w:div>
    <w:div w:id="1040201817">
      <w:bodyDiv w:val="1"/>
      <w:marLeft w:val="0"/>
      <w:marRight w:val="0"/>
      <w:marTop w:val="0"/>
      <w:marBottom w:val="0"/>
      <w:divBdr>
        <w:top w:val="none" w:sz="0" w:space="0" w:color="auto"/>
        <w:left w:val="none" w:sz="0" w:space="0" w:color="auto"/>
        <w:bottom w:val="none" w:sz="0" w:space="0" w:color="auto"/>
        <w:right w:val="none" w:sz="0" w:space="0" w:color="auto"/>
      </w:divBdr>
      <w:divsChild>
        <w:div w:id="1070808083">
          <w:marLeft w:val="0"/>
          <w:marRight w:val="0"/>
          <w:marTop w:val="0"/>
          <w:marBottom w:val="0"/>
          <w:divBdr>
            <w:top w:val="none" w:sz="0" w:space="0" w:color="auto"/>
            <w:left w:val="none" w:sz="0" w:space="0" w:color="auto"/>
            <w:bottom w:val="none" w:sz="0" w:space="0" w:color="auto"/>
            <w:right w:val="none" w:sz="0" w:space="0" w:color="auto"/>
          </w:divBdr>
          <w:divsChild>
            <w:div w:id="291981559">
              <w:marLeft w:val="0"/>
              <w:marRight w:val="0"/>
              <w:marTop w:val="0"/>
              <w:marBottom w:val="0"/>
              <w:divBdr>
                <w:top w:val="none" w:sz="0" w:space="0" w:color="auto"/>
                <w:left w:val="none" w:sz="0" w:space="0" w:color="auto"/>
                <w:bottom w:val="none" w:sz="0" w:space="0" w:color="auto"/>
                <w:right w:val="none" w:sz="0" w:space="0" w:color="auto"/>
              </w:divBdr>
              <w:divsChild>
                <w:div w:id="1475368633">
                  <w:marLeft w:val="-300"/>
                  <w:marRight w:val="-300"/>
                  <w:marTop w:val="0"/>
                  <w:marBottom w:val="0"/>
                  <w:divBdr>
                    <w:top w:val="none" w:sz="0" w:space="0" w:color="auto"/>
                    <w:left w:val="none" w:sz="0" w:space="0" w:color="auto"/>
                    <w:bottom w:val="none" w:sz="0" w:space="0" w:color="auto"/>
                    <w:right w:val="none" w:sz="0" w:space="0" w:color="auto"/>
                  </w:divBdr>
                  <w:divsChild>
                    <w:div w:id="1570186201">
                      <w:marLeft w:val="0"/>
                      <w:marRight w:val="0"/>
                      <w:marTop w:val="180"/>
                      <w:marBottom w:val="600"/>
                      <w:divBdr>
                        <w:top w:val="single" w:sz="6" w:space="0" w:color="EAEAEA"/>
                        <w:left w:val="none" w:sz="0" w:space="0" w:color="auto"/>
                        <w:bottom w:val="single" w:sz="12" w:space="0" w:color="2C4C99"/>
                        <w:right w:val="none" w:sz="0" w:space="0" w:color="auto"/>
                      </w:divBdr>
                      <w:divsChild>
                        <w:div w:id="1158762214">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0663806">
      <w:bodyDiv w:val="1"/>
      <w:marLeft w:val="0"/>
      <w:marRight w:val="0"/>
      <w:marTop w:val="0"/>
      <w:marBottom w:val="0"/>
      <w:divBdr>
        <w:top w:val="none" w:sz="0" w:space="0" w:color="auto"/>
        <w:left w:val="none" w:sz="0" w:space="0" w:color="auto"/>
        <w:bottom w:val="none" w:sz="0" w:space="0" w:color="auto"/>
        <w:right w:val="none" w:sz="0" w:space="0" w:color="auto"/>
      </w:divBdr>
    </w:div>
    <w:div w:id="1130325017">
      <w:bodyDiv w:val="1"/>
      <w:marLeft w:val="0"/>
      <w:marRight w:val="0"/>
      <w:marTop w:val="0"/>
      <w:marBottom w:val="0"/>
      <w:divBdr>
        <w:top w:val="none" w:sz="0" w:space="0" w:color="auto"/>
        <w:left w:val="none" w:sz="0" w:space="0" w:color="auto"/>
        <w:bottom w:val="none" w:sz="0" w:space="0" w:color="auto"/>
        <w:right w:val="none" w:sz="0" w:space="0" w:color="auto"/>
      </w:divBdr>
    </w:div>
    <w:div w:id="1154953325">
      <w:bodyDiv w:val="1"/>
      <w:marLeft w:val="0"/>
      <w:marRight w:val="0"/>
      <w:marTop w:val="0"/>
      <w:marBottom w:val="0"/>
      <w:divBdr>
        <w:top w:val="none" w:sz="0" w:space="0" w:color="auto"/>
        <w:left w:val="none" w:sz="0" w:space="0" w:color="auto"/>
        <w:bottom w:val="none" w:sz="0" w:space="0" w:color="auto"/>
        <w:right w:val="none" w:sz="0" w:space="0" w:color="auto"/>
      </w:divBdr>
    </w:div>
    <w:div w:id="1173689190">
      <w:bodyDiv w:val="1"/>
      <w:marLeft w:val="0"/>
      <w:marRight w:val="0"/>
      <w:marTop w:val="0"/>
      <w:marBottom w:val="0"/>
      <w:divBdr>
        <w:top w:val="none" w:sz="0" w:space="0" w:color="auto"/>
        <w:left w:val="none" w:sz="0" w:space="0" w:color="auto"/>
        <w:bottom w:val="none" w:sz="0" w:space="0" w:color="auto"/>
        <w:right w:val="none" w:sz="0" w:space="0" w:color="auto"/>
      </w:divBdr>
    </w:div>
    <w:div w:id="1293975489">
      <w:bodyDiv w:val="1"/>
      <w:marLeft w:val="0"/>
      <w:marRight w:val="0"/>
      <w:marTop w:val="0"/>
      <w:marBottom w:val="0"/>
      <w:divBdr>
        <w:top w:val="none" w:sz="0" w:space="0" w:color="auto"/>
        <w:left w:val="none" w:sz="0" w:space="0" w:color="auto"/>
        <w:bottom w:val="none" w:sz="0" w:space="0" w:color="auto"/>
        <w:right w:val="none" w:sz="0" w:space="0" w:color="auto"/>
      </w:divBdr>
    </w:div>
    <w:div w:id="1380860720">
      <w:bodyDiv w:val="1"/>
      <w:marLeft w:val="0"/>
      <w:marRight w:val="0"/>
      <w:marTop w:val="0"/>
      <w:marBottom w:val="0"/>
      <w:divBdr>
        <w:top w:val="none" w:sz="0" w:space="0" w:color="auto"/>
        <w:left w:val="none" w:sz="0" w:space="0" w:color="auto"/>
        <w:bottom w:val="none" w:sz="0" w:space="0" w:color="auto"/>
        <w:right w:val="none" w:sz="0" w:space="0" w:color="auto"/>
      </w:divBdr>
    </w:div>
    <w:div w:id="1466311321">
      <w:bodyDiv w:val="1"/>
      <w:marLeft w:val="0"/>
      <w:marRight w:val="0"/>
      <w:marTop w:val="0"/>
      <w:marBottom w:val="0"/>
      <w:divBdr>
        <w:top w:val="none" w:sz="0" w:space="0" w:color="auto"/>
        <w:left w:val="none" w:sz="0" w:space="0" w:color="auto"/>
        <w:bottom w:val="none" w:sz="0" w:space="0" w:color="auto"/>
        <w:right w:val="none" w:sz="0" w:space="0" w:color="auto"/>
      </w:divBdr>
    </w:div>
    <w:div w:id="1475757715">
      <w:bodyDiv w:val="1"/>
      <w:marLeft w:val="0"/>
      <w:marRight w:val="0"/>
      <w:marTop w:val="0"/>
      <w:marBottom w:val="0"/>
      <w:divBdr>
        <w:top w:val="none" w:sz="0" w:space="0" w:color="auto"/>
        <w:left w:val="none" w:sz="0" w:space="0" w:color="auto"/>
        <w:bottom w:val="none" w:sz="0" w:space="0" w:color="auto"/>
        <w:right w:val="none" w:sz="0" w:space="0" w:color="auto"/>
      </w:divBdr>
    </w:div>
    <w:div w:id="1496998101">
      <w:bodyDiv w:val="1"/>
      <w:marLeft w:val="0"/>
      <w:marRight w:val="0"/>
      <w:marTop w:val="0"/>
      <w:marBottom w:val="0"/>
      <w:divBdr>
        <w:top w:val="none" w:sz="0" w:space="0" w:color="auto"/>
        <w:left w:val="none" w:sz="0" w:space="0" w:color="auto"/>
        <w:bottom w:val="none" w:sz="0" w:space="0" w:color="auto"/>
        <w:right w:val="none" w:sz="0" w:space="0" w:color="auto"/>
      </w:divBdr>
    </w:div>
    <w:div w:id="1621494553">
      <w:bodyDiv w:val="1"/>
      <w:marLeft w:val="0"/>
      <w:marRight w:val="0"/>
      <w:marTop w:val="0"/>
      <w:marBottom w:val="0"/>
      <w:divBdr>
        <w:top w:val="none" w:sz="0" w:space="0" w:color="auto"/>
        <w:left w:val="none" w:sz="0" w:space="0" w:color="auto"/>
        <w:bottom w:val="none" w:sz="0" w:space="0" w:color="auto"/>
        <w:right w:val="none" w:sz="0" w:space="0" w:color="auto"/>
      </w:divBdr>
    </w:div>
    <w:div w:id="1681200824">
      <w:bodyDiv w:val="1"/>
      <w:marLeft w:val="0"/>
      <w:marRight w:val="0"/>
      <w:marTop w:val="0"/>
      <w:marBottom w:val="0"/>
      <w:divBdr>
        <w:top w:val="none" w:sz="0" w:space="0" w:color="auto"/>
        <w:left w:val="none" w:sz="0" w:space="0" w:color="auto"/>
        <w:bottom w:val="none" w:sz="0" w:space="0" w:color="auto"/>
        <w:right w:val="none" w:sz="0" w:space="0" w:color="auto"/>
      </w:divBdr>
    </w:div>
    <w:div w:id="1692880804">
      <w:bodyDiv w:val="1"/>
      <w:marLeft w:val="0"/>
      <w:marRight w:val="0"/>
      <w:marTop w:val="0"/>
      <w:marBottom w:val="0"/>
      <w:divBdr>
        <w:top w:val="none" w:sz="0" w:space="0" w:color="auto"/>
        <w:left w:val="none" w:sz="0" w:space="0" w:color="auto"/>
        <w:bottom w:val="none" w:sz="0" w:space="0" w:color="auto"/>
        <w:right w:val="none" w:sz="0" w:space="0" w:color="auto"/>
      </w:divBdr>
    </w:div>
    <w:div w:id="1712530273">
      <w:bodyDiv w:val="1"/>
      <w:marLeft w:val="0"/>
      <w:marRight w:val="0"/>
      <w:marTop w:val="0"/>
      <w:marBottom w:val="0"/>
      <w:divBdr>
        <w:top w:val="none" w:sz="0" w:space="0" w:color="auto"/>
        <w:left w:val="none" w:sz="0" w:space="0" w:color="auto"/>
        <w:bottom w:val="none" w:sz="0" w:space="0" w:color="auto"/>
        <w:right w:val="none" w:sz="0" w:space="0" w:color="auto"/>
      </w:divBdr>
    </w:div>
    <w:div w:id="1781142199">
      <w:bodyDiv w:val="1"/>
      <w:marLeft w:val="0"/>
      <w:marRight w:val="0"/>
      <w:marTop w:val="0"/>
      <w:marBottom w:val="0"/>
      <w:divBdr>
        <w:top w:val="none" w:sz="0" w:space="0" w:color="auto"/>
        <w:left w:val="none" w:sz="0" w:space="0" w:color="auto"/>
        <w:bottom w:val="none" w:sz="0" w:space="0" w:color="auto"/>
        <w:right w:val="none" w:sz="0" w:space="0" w:color="auto"/>
      </w:divBdr>
    </w:div>
    <w:div w:id="1782912383">
      <w:bodyDiv w:val="1"/>
      <w:marLeft w:val="0"/>
      <w:marRight w:val="0"/>
      <w:marTop w:val="0"/>
      <w:marBottom w:val="0"/>
      <w:divBdr>
        <w:top w:val="none" w:sz="0" w:space="0" w:color="auto"/>
        <w:left w:val="none" w:sz="0" w:space="0" w:color="auto"/>
        <w:bottom w:val="none" w:sz="0" w:space="0" w:color="auto"/>
        <w:right w:val="none" w:sz="0" w:space="0" w:color="auto"/>
      </w:divBdr>
    </w:div>
    <w:div w:id="1811894793">
      <w:bodyDiv w:val="1"/>
      <w:marLeft w:val="0"/>
      <w:marRight w:val="0"/>
      <w:marTop w:val="0"/>
      <w:marBottom w:val="0"/>
      <w:divBdr>
        <w:top w:val="none" w:sz="0" w:space="0" w:color="auto"/>
        <w:left w:val="none" w:sz="0" w:space="0" w:color="auto"/>
        <w:bottom w:val="none" w:sz="0" w:space="0" w:color="auto"/>
        <w:right w:val="none" w:sz="0" w:space="0" w:color="auto"/>
      </w:divBdr>
    </w:div>
    <w:div w:id="1958487865">
      <w:bodyDiv w:val="1"/>
      <w:marLeft w:val="0"/>
      <w:marRight w:val="0"/>
      <w:marTop w:val="0"/>
      <w:marBottom w:val="0"/>
      <w:divBdr>
        <w:top w:val="none" w:sz="0" w:space="0" w:color="auto"/>
        <w:left w:val="none" w:sz="0" w:space="0" w:color="auto"/>
        <w:bottom w:val="none" w:sz="0" w:space="0" w:color="auto"/>
        <w:right w:val="none" w:sz="0" w:space="0" w:color="auto"/>
      </w:divBdr>
    </w:div>
    <w:div w:id="1969044995">
      <w:bodyDiv w:val="1"/>
      <w:marLeft w:val="0"/>
      <w:marRight w:val="0"/>
      <w:marTop w:val="0"/>
      <w:marBottom w:val="0"/>
      <w:divBdr>
        <w:top w:val="none" w:sz="0" w:space="0" w:color="auto"/>
        <w:left w:val="none" w:sz="0" w:space="0" w:color="auto"/>
        <w:bottom w:val="none" w:sz="0" w:space="0" w:color="auto"/>
        <w:right w:val="none" w:sz="0" w:space="0" w:color="auto"/>
      </w:divBdr>
    </w:div>
    <w:div w:id="2098015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0.png"/><Relationship Id="rId18" Type="http://schemas.openxmlformats.org/officeDocument/2006/relationships/hyperlink" Target="https://iopscience.iop.org/article/10.1088/1748-0221/16/12/P12025" TargetMode="External"/><Relationship Id="rId26" Type="http://schemas.openxmlformats.org/officeDocument/2006/relationships/hyperlink" Target="https://journals.iucr.org/s/issues/2018/05/00/ig5056/index.html" TargetMode="External"/><Relationship Id="rId3" Type="http://schemas.openxmlformats.org/officeDocument/2006/relationships/styles" Target="styles.xml"/><Relationship Id="rId21" Type="http://schemas.openxmlformats.org/officeDocument/2006/relationships/hyperlink" Target="https://ieeexplore.ieee.org/document/4330099"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60.png"/><Relationship Id="rId25" Type="http://schemas.openxmlformats.org/officeDocument/2006/relationships/hyperlink" Target="https://www.osti.gov/servlets/purl/4064201/"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s://ieeexplore.ieee.org/document/433009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doi.org/10.18429/JACoW-ERL2019-TUCOZBS02" TargetMode="External"/><Relationship Id="rId5" Type="http://schemas.openxmlformats.org/officeDocument/2006/relationships/webSettings" Target="webSettings.xml"/><Relationship Id="rId15" Type="http://schemas.openxmlformats.org/officeDocument/2006/relationships/image" Target="media/image50.emf"/><Relationship Id="rId23" Type="http://schemas.openxmlformats.org/officeDocument/2006/relationships/hyperlink" Target="http://doi.org/10.18429/JACoW-NAPAC2025-TUP070" TargetMode="External"/><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s://indico.cern.ch/event/1040671/contributions/4371231/attachments/2258316/3834416/Energy%20Recovery%20&amp;%20Sustainability.pdf" TargetMode="External"/><Relationship Id="rId4" Type="http://schemas.openxmlformats.org/officeDocument/2006/relationships/settings" Target="settings.xml"/><Relationship Id="rId9" Type="http://schemas.openxmlformats.org/officeDocument/2006/relationships/image" Target="media/image10.png"/><Relationship Id="rId14" Type="http://schemas.openxmlformats.org/officeDocument/2006/relationships/image" Target="media/image5.emf"/><Relationship Id="rId22" Type="http://schemas.openxmlformats.org/officeDocument/2006/relationships/hyperlink" Target="https://linearcollider.org/files/images/pdf/Executive%20Summary.pdf" TargetMode="External"/><Relationship Id="rId27"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hrin\Documents\JACoW_Conf_Editorial\Template\Word2025\JACoW_W16_A4%2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JCh15</b:Tag>
    <b:SourceType>ConferenceProceedings</b:SourceType>
    <b:Guid>{45316F22-FB22-4E2F-94CC-E64FF2C6AB1F}</b:Guid>
    <b:Title>Investiation of The</b:Title>
    <b:Year>2015</b:Year>
    <b:City>Melbourne, Australia</b:City>
    <b:Publisher>jacow.org</b:Publisher>
    <b:Author>
      <b:Author>
        <b:Corporate>J. Chirn</b:Corporate>
      </b:Author>
    </b:Author>
    <b:Pages>1--5</b:Pages>
    <b:ConferenceName>2015</b:ConferenceName>
    <b:LCID>en-US</b:LCID>
    <b:RefOrder>18</b:RefOrder>
  </b:Source>
  <b:Source>
    <b:Tag>Tel21</b:Tag>
    <b:SourceType>JournalArticle</b:SourceType>
    <b:Guid>{79A49128-4418-7845-89D8-37E31541FCED}</b:Guid>
    <b:Author>
      <b:Author>
        <b:NameList>
          <b:Person>
            <b:Last>Telnov</b:Last>
            <b:First>V.</b:First>
          </b:Person>
        </b:NameList>
      </b:Author>
    </b:Author>
    <b:Title>The ReLiC- Recycling Linear e+e- Collider</b:Title>
    <b:Year>2021</b:Year>
    <b:JournalName>Journal of Instrumentation (JINST) 16(2021)P12025</b:JournalName>
    <b:Volume>16</b:Volume>
    <b:Pages>12025</b:Pages>
    <b:RefOrder>19</b:RefOrder>
  </b:Source>
  <b:Source>
    <b:Tag>Jen21</b:Tag>
    <b:SourceType>InternetSite</b:SourceType>
    <b:Guid>{C0F82BFA-12BD-4B45-8CA3-297FE1D24995}</b:Guid>
    <b:Author>
      <b:Author>
        <b:NameList>
          <b:Person>
            <b:Last>Jensen</b:Last>
            <b:First>Erk</b:First>
          </b:Person>
        </b:NameList>
      </b:Author>
    </b:Author>
    <b:Title>Energy Recovery &amp; Sustainability</b:Title>
    <b:Year>2021</b:Year>
    <b:ConferenceName>Symposium on Energy Recovery Linacs</b:ConferenceName>
    <b:City>Geneva, Switzerland</b:City>
    <b:URL>https://indico.cern.ch/event/1040671/contributions/4371231/attachments/2258316/3834416/Energy%20Recovery%20&amp;%20Sustainability.pdf</b:URL>
    <b:ProductionCompany>CERN</b:ProductionCompany>
    <b:Month>June</b:Month>
    <b:Day>4</b:Day>
    <b:RefOrder>1</b:RefOrder>
  </b:Source>
  <b:Source>
    <b:Tag>Pet26</b:Tag>
    <b:SourceType>ConferenceProceedings</b:SourceType>
    <b:Guid>{12AC97C3-9691-DF47-9AB1-A14AB87EA0C6}</b:Guid>
    <b:Author>
      <b:Author>
        <b:NameList>
          <b:Person>
            <b:Last>Peter Williams</b:Last>
            <b:First>Andrew</b:First>
            <b:Middle>Hutton, Bamunvita Gamage, Rob Apsimon, Mohit Joshi</b:Middle>
          </b:Person>
        </b:NameList>
      </b:Author>
    </b:Author>
    <b:Title>An Efficient Higgs Factory: The Linear Ghost Collider</b:Title>
    <b:ConferenceName>Submitted to IPAC26</b:ConferenceName>
    <b:City>Deauville, France</b:City>
    <b:Year>2026</b:Year>
    <b:RefOrder>2</b:RefOrder>
  </b:Source>
  <b:Source>
    <b:Tag>Gro79</b:Tag>
    <b:SourceType>JournalArticle</b:SourceType>
    <b:Guid>{5BF0B4B8-3BAF-BA49-8DA8-59F663422F9C}</b:Guid>
    <b:Author>
      <b:Author>
        <b:NameList>
          <b:Person>
            <b:Last>Group</b:Last>
            <b:First>The</b:First>
            <b:Middle>Orsay Storage Ring</b:Middle>
          </b:Person>
        </b:NameList>
      </b:Author>
    </b:Author>
    <b:Title>Staus Report on D.C.I</b:Title>
    <b:Year>1979</b:Year>
    <b:JournalName>IEEE Transactions on Nuclear Science</b:JournalName>
    <b:Volume>NS-26</b:Volume>
    <b:Issue>3</b:Issue>
    <b:RefOrder>3</b:RefOrder>
  </b:Source>
  <b:Source>
    <b:Tag>VES86</b:Tag>
    <b:SourceType>Report</b:SourceType>
    <b:Guid>{2EE691F9-90DE-C34B-BF86-6B7575453B0C}</b:Guid>
    <b:Author>
      <b:Author>
        <b:NameList>
          <b:Person>
            <b:Last>V. E. Solyak</b:Last>
            <b:First>N.</b:First>
            <b:Middle>A. and Balakin</b:Middle>
          </b:Person>
        </b:NameList>
      </b:Author>
    </b:Author>
    <b:Title>VLEPP Beam-Beam Effects</b:Title>
    <b:City>Stanford, California, USA</b:City>
    <b:Year>1986</b:Year>
    <b:Publisher>SLAC TRANS – 0226</b:Publisher>
    <b:RefOrder>4</b:RefOrder>
  </b:Source>
  <b:Source>
    <b:Tag>DHW86</b:Tag>
    <b:SourceType>Report</b:SourceType>
    <b:Guid>{5F913CDD-3A43-E542-8162-ADB5B78CA7F2}</b:Guid>
    <b:Author>
      <b:Author>
        <b:NameList>
          <b:Person>
            <b:Last>Siemann</b:Last>
            <b:First>D.</b:First>
            <b:Middle>H. Whittum and R. H.</b:Middle>
          </b:Person>
        </b:NameList>
      </b:Author>
    </b:Author>
    <b:Title>Neutral Beam Collisions at 5 TeV</b:Title>
    <b:Publisher>SLAC-PUB-7808</b:Publisher>
    <b:City>Stanford, California, USA</b:City>
    <b:Year>1986</b:Year>
    <b:RefOrder>5</b:RefOrder>
  </b:Source>
  <b:Source>
    <b:Tag>JBR89</b:Tag>
    <b:SourceType>Report</b:SourceType>
    <b:Guid>{BE02C6CF-0231-F54B-9DEC-172D2A7A2713}</b:Guid>
    <b:Author>
      <b:Author>
        <b:NameList>
          <b:Person>
            <b:Last>J . B. Rosenzweig</b:Last>
            <b:First>B.</b:First>
            <b:Middle>Autin, P. Chen</b:Middle>
          </b:Person>
        </b:NameList>
      </b:Author>
    </b:Author>
    <b:Title>Instability of Compensated Beam-Beam Collisions</b:Title>
    <b:Publisher>ANL-HEP-CP—89-13</b:Publisher>
    <b:City>Argonne, Illinois, USA</b:City>
    <b:Year>1989</b:Year>
    <b:RefOrder>6</b:RefOrder>
  </b:Source>
  <b:Source>
    <b:Tag>DHW90</b:Tag>
    <b:SourceType>JournalArticle</b:SourceType>
    <b:Guid>{B74F1636-583C-274A-B1BD-7F17D0A109E9}</b:Guid>
    <b:Title>Plasma Suppression of Beamstrahlung</b:Title>
    <b:Year>1990</b:Year>
    <b:Pages>89-104</b:Pages>
    <b:Author>
      <b:Author>
        <b:NameList>
          <b:Person>
            <b:Last>D. H. Whittum and A. M. Sessler</b:Last>
            <b:First>J.</b:First>
            <b:Middle>J. Stewart and S. S. Yu</b:Middle>
          </b:Person>
        </b:NameList>
      </b:Author>
    </b:Author>
    <b:JournalName>Particle Accelerators</b:JournalName>
    <b:Volume>33</b:Volume>
    <b:RefOrder>7</b:RefOrder>
  </b:Source>
  <b:Source>
    <b:Tag>GPG89</b:Tag>
    <b:SourceType>ConferenceProceedings</b:SourceType>
    <b:Guid>{791647EC-43DF-A749-90EC-5B66D06411BC}</b:Guid>
    <b:Author>
      <b:Author>
        <b:NameList>
          <b:Person>
            <b:Last>G. P. Goderre</b:Last>
            <b:First>E.</b:First>
            <b:Middle>Malamud</b:Middle>
          </b:Person>
        </b:NameList>
      </b:Author>
    </b:Author>
    <b:Title>Helical Orbit Studies in the Tevatron</b:Title>
    <b:ConferenceName>Particle Accelerator Conference</b:ConferenceName>
    <b:City>Chicago, IL</b:City>
    <b:Year>1989</b:Year>
    <b:RefOrder>8</b:RefOrder>
  </b:Source>
  <b:Source>
    <b:Tag>Hüb01</b:Tag>
    <b:SourceType>Report</b:SourceType>
    <b:Guid>{F1485C95-FFC7-9843-9DF9-3175E7A1E4D0}</b:Guid>
    <b:Title>The LEP Superconducting RF System</b:Title>
    <b:City>Geneva</b:City>
    <b:Year>2001</b:Year>
    <b:Author>
      <b:Author>
        <b:NameList>
          <b:Person>
            <b:Last>Hübner</b:Last>
            <b:First>K</b:First>
          </b:Person>
        </b:NameList>
      </b:Author>
    </b:Author>
    <b:Publisher>CERN-SL-2001-059-DI</b:Publisher>
    <b:JournalName>Cern Report</b:JournalName>
    <b:Institution>CERN</b:Institution>
    <b:Department>DI</b:Department>
    <b:ThesisType>Cern Report</b:ThesisType>
    <b:RefOrder>9</b:RefOrder>
  </b:Source>
  <b:Source>
    <b:Tag>Gen20</b:Tag>
    <b:SourceType>ConferenceProceedings</b:SourceType>
    <b:Guid>{7B20911E-FB6C-974A-A270-AB63EB50894D}</b:Guid>
    <b:Author>
      <b:Author>
        <b:NameList>
          <b:Person>
            <b:Last>Wu</b:Last>
            <b:First>Genfa</b:First>
          </b:Person>
        </b:NameList>
      </b:Author>
    </b:Author>
    <b:Title>PIP-II SRF Cryomodules</b:Title>
    <b:ConferenceName>Americas Workshop on Linear Colliders </b:ConferenceName>
    <b:City>Tsukuba, Japan</b:City>
    <b:Year>2020</b:Year>
    <b:RefOrder>10</b:RefOrder>
  </b:Source>
  <b:Source>
    <b:Tag>DeS15</b:Tag>
    <b:SourceType>ConferenceProceedings</b:SourceType>
    <b:Guid>{68537397-6FBD-E349-A5AA-411F309D5341}</b:Guid>
    <b:Author>
      <b:Author>
        <b:NameList>
          <b:Person>
            <b:Last>De Silva</b:Last>
            <b:First>S.U.</b:First>
          </b:Person>
        </b:NameList>
      </b:Author>
    </b:Author>
    <b:Title>Electromagnetic Design of 400 MHz RF-Dipole Crabbing Cavity for LHC High Luminosity Upgrade</b:Title>
    <b:Year>2015</b:Year>
    <b:ConferenceName>Proceedings of the 17th International Conference on RF Superconductivity (SRF2015)</b:ConferenceName>
    <b:City>Whistler, BC, Canada</b:City>
    <b:RefOrder>20</b:RefOrder>
  </b:Source>
  <b:Source>
    <b:Tag>Beh13</b:Tag>
    <b:SourceType>DocumentFromInternetSite</b:SourceType>
    <b:Guid>{10A5BC03-ED83-7D4C-B29E-9E5156FFB79D}</b:Guid>
    <b:Author>
      <b:Author>
        <b:NameList>
          <b:Person>
            <b:Last>Behnke</b:Last>
            <b:First>T.</b:First>
          </b:Person>
        </b:NameList>
      </b:Author>
    </b:Author>
    <b:Title>THE INTERNATIONAL LINEAR COLLIDER Technical Design Report</b:Title>
    <b:URL>https://linearcollider.org/files/images/pdf/Executive%20Summary.pdf</b:URL>
    <b:Year>2013</b:Year>
    <b:Month>June</b:Month>
    <b:Day>11</b:Day>
    <b:RefOrder>11</b:RefOrder>
  </b:Source>
  <b:Source>
    <b:Tag>BRG251</b:Tag>
    <b:SourceType>ConferenceProceedings</b:SourceType>
    <b:Guid>{A58A8756-CBE1-0042-BF18-79E33DC40706}</b:Guid>
    <b:Author>
      <b:Author>
        <b:NameList>
          <b:Person>
            <b:Last>B.R. Gamage and A. Hutton</b:Last>
          </b:Person>
        </b:NameList>
      </b:Author>
    </b:Author>
    <b:Title>Multiple INteraction Points in Ghost Collisions</b:Title>
    <b:ConferenceName>NAPAC 25</b:ConferenceName>
    <b:City>Stanford, California, USA</b:City>
    <b:Year>2025</b:Year>
    <b:RefOrder>12</b:RefOrder>
  </b:Source>
  <b:Source>
    <b:Tag>Mon77</b:Tag>
    <b:SourceType>Report</b:SourceType>
    <b:Guid>{9910AF8A-64CD-6E49-920A-3FCF57A3E62C}</b:Guid>
    <b:Author>
      <b:Author>
        <b:NameList>
          <b:Person>
            <b:Last>Montague</b:Last>
            <b:First>B.</b:First>
            <b:Middle>W.</b:Middle>
          </b:Person>
        </b:NameList>
      </b:Author>
    </b:Author>
    <b:Title>Linear Optics for Improved Chromaticity Correction</b:Title>
    <b:City>Geneva, Switzerland</b:City>
    <b:Year>1977</b:Year>
    <b:Institution>CERN</b:Institution>
    <b:ThesisType>LEP Note 165</b:ThesisType>
    <b:RefOrder>21</b:RefOrder>
  </b:Source>
  <b:Source>
    <b:Tag>BRG25</b:Tag>
    <b:SourceType>ConferenceProceedings</b:SourceType>
    <b:Guid>{DF813EDA-922B-274B-A6F5-B2E18399B1EC}</b:Guid>
    <b:Author>
      <b:Author>
        <b:NameList>
          <b:Person>
            <b:Last>Hutton</b:Last>
            <b:First>B.R.</b:First>
            <b:Middle>Gamage and A.</b:Middle>
          </b:Person>
        </b:NameList>
      </b:Author>
    </b:Author>
    <b:Title>Multiple Interaction Points in Ghost Collisions</b:Title>
    <b:ConferenceName>NAPAC25</b:ConferenceName>
    <b:City>Stanford, California, USA</b:City>
    <b:Year>2025</b:Year>
    <b:RefOrder>22</b:RefOrder>
  </b:Source>
  <b:Source>
    <b:Tag>Jos</b:Tag>
    <b:SourceType>Misc</b:SourceType>
    <b:Guid>{71F07E08-87A9-2E43-AED1-7B919F8F85F6}</b:Guid>
    <b:Author>
      <b:Author>
        <b:NameList>
          <b:Person>
            <b:Last>Joshi</b:Last>
            <b:First>Mohit</b:First>
          </b:Person>
        </b:NameList>
      </b:Author>
    </b:Author>
    <b:Title>To be published</b:Title>
    <b:RefOrder>23</b:RefOrder>
  </b:Source>
  <b:Source>
    <b:Tag>Rob</b:Tag>
    <b:SourceType>Misc</b:SourceType>
    <b:Guid>{9DD910A5-2471-9B4D-932B-45327C3D86E8}</b:Guid>
    <b:Author>
      <b:Author>
        <b:NameList>
          <b:Person>
            <b:Last>Apsimon</b:Last>
            <b:First>Rob</b:First>
          </b:Person>
        </b:NameList>
      </b:Author>
    </b:Author>
    <b:Title>To be published</b:Title>
    <b:RefOrder>24</b:RefOrder>
  </b:Source>
  <b:Source>
    <b:Tag>Kra03</b:Tag>
    <b:SourceType>ConferenceProceedings</b:SourceType>
    <b:Guid>{22D4A83B-797C-5D41-B1D1-70FA133B695A}</b:Guid>
    <b:Author>
      <b:Author>
        <b:NameList>
          <b:Person>
            <b:Last>Kraft</b:Last>
            <b:First>G.A.</b:First>
            <b:Middle>and Bazarov, I.V</b:Middle>
          </b:Person>
        </b:NameList>
      </b:Author>
    </b:Author>
    <b:Title>4th Generation Light Sources II ERLs and Thomson Scattering</b:Title>
    <b:Publisher>Jefferson Lab</b:Publisher>
    <b:City>Baton Rouge, LA, USA</b:City>
    <b:Year>2003</b:Year>
    <b:URL>https://casa.jlab.org/publications/viewgraphs/lecture/bazarov_uspas_day4.pdf  </b:URL>
    <b:ConferenceName>USPAS</b:ConferenceName>
    <b:RefOrder>13</b:RefOrder>
  </b:Source>
  <b:Source>
    <b:Tag>San70</b:Tag>
    <b:SourceType>Report</b:SourceType>
    <b:Guid>{4AC54D00-AF9B-F442-88F5-716480011551}</b:Guid>
    <b:Title>The Physics of Electron Storage Rings: An Introduction</b:Title>
    <b:Year>1970</b:Year>
    <b:Author>
      <b:Author>
        <b:NameList>
          <b:Person>
            <b:Last>Sands</b:Last>
            <b:First>M.</b:First>
          </b:Person>
        </b:NameList>
      </b:Author>
    </b:Author>
    <b:Institution>SLAC-121</b:Institution>
    <b:RefOrder>14</b:RefOrder>
  </b:Source>
  <b:Source>
    <b:Tag>IBa08</b:Tag>
    <b:SourceType>ConferenceProceedings</b:SourceType>
    <b:Guid>{60B929EF-F714-2E42-BBD0-61A45435EE1D}</b:Guid>
    <b:Author>
      <b:Author>
        <b:NameList>
          <b:Person>
            <b:Last>I Bazarov</b:Last>
            <b:First>I</b:First>
            <b:Middle>and Krafft, G</b:Middle>
          </b:Person>
        </b:NameList>
      </b:Author>
    </b:Author>
    <b:Title>Synchrotron Radiation Effect on the Beam</b:Title>
    <b:ConferenceName>https://www.classe.cornell.edu/~ib38/uspas08/lec1.pdf</b:ConferenceName>
    <b:City>Ithaca, NY, USA</b:City>
    <b:Year>2008</b:Year>
    <b:Publisher>USPAS'08</b:Publisher>
    <b:RefOrder>15</b:RefOrder>
  </b:Source>
  <b:Source>
    <b:Tag>Sch18</b:Tag>
    <b:SourceType>JournalArticle</b:SourceType>
    <b:Guid>{A0779A8C-9071-604C-860F-E9324B1A6372}</b:Guid>
    <b:Title>PETRA IV: the ultralow-emittance source project at DESY</b:Title>
    <b:Year>2018</b:Year>
    <b:Author>
      <b:Author>
        <b:NameList>
          <b:Person>
            <b:Last>Schroer</b:Last>
            <b:First>C.</b:First>
            <b:Middle>G.</b:Middle>
          </b:Person>
        </b:NameList>
      </b:Author>
    </b:Author>
    <b:JournalName>Journal of Synchrotron Radiation</b:JournalName>
    <b:Volume>25</b:Volume>
    <b:Issue>5</b:Issue>
    <b:Pages>1277-1290</b:Pages>
    <b:RefOrder>16</b:RefOrder>
  </b:Source>
  <b:Source>
    <b:Tag>Shi20</b:Tag>
    <b:SourceType>ConferenceProceedings</b:SourceType>
    <b:Guid>{41C904DB-A70B-B44B-BB0C-18F70A80BF2F}</b:Guid>
    <b:Author>
      <b:Author>
        <b:NameList>
          <b:Person>
            <b:Last>Shipman</b:Last>
            <b:First>N</b:First>
          </b:Person>
        </b:NameList>
      </b:Author>
    </b:Author>
    <b:Title>63th ICFA Advanced Beam Dynamics Workshop on Energy Recovery Linacs, ERL2019</b:Title>
    <b:Year>2020</b:Year>
    <b:Pages>ISBN: 978-3-95450-217-2</b:Pages>
    <b:ConferenceName>A Ferroelectric Fast ReactiveTuner (FE-FRT) to Combat Microphonics</b:ConferenceName>
    <b:City>Berlin, Germany</b:City>
    <b:Publisher>JACOW</b:Publisher>
    <b:RefOrder>17</b:RefOrder>
  </b:Source>
  <b:Source>
    <b:Tag>alC25</b:Tag>
    <b:SourceType>DocumentFromInternetSite</b:SourceType>
    <b:Guid>{DDD7C53B-ABE0-274A-926D-802EF88F5725}</b:Guid>
    <b:Author>
      <b:Author>
        <b:NameList>
          <b:Person>
            <b:Last>Balazs</b:Last>
            <b:First>C.</b:First>
          </b:Person>
        </b:NameList>
      </b:Author>
    </b:Author>
    <b:Title>A Linear Collider Vision for the Future of Particle Physics</b:Title>
    <b:Year>2025</b:Year>
    <b:Month>March</b:Month>
    <b:Day>31</b:Day>
    <b:InternetSiteTitle>arXiv</b:InternetSiteTitle>
    <b:URL>https://arxiv.org/pdf/2503.19983</b:URL>
    <b:RefOrder>25</b:RefOrder>
  </b:Source>
</b:Sources>
</file>

<file path=customXml/itemProps1.xml><?xml version="1.0" encoding="utf-8"?>
<ds:datastoreItem xmlns:ds="http://schemas.openxmlformats.org/officeDocument/2006/customXml" ds:itemID="{7E54235D-5F6D-9A41-870A-3C5326918A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JACoW_W16_A4 </Template>
  <TotalTime>0</TotalTime>
  <Pages>6</Pages>
  <Words>4486</Words>
  <Characters>22521</Characters>
  <Application>Microsoft Office Word</Application>
  <DocSecurity>0</DocSecurity>
  <Lines>549</Lines>
  <Paragraphs>148</Paragraphs>
  <ScaleCrop>false</ScaleCrop>
  <HeadingPairs>
    <vt:vector size="2" baseType="variant">
      <vt:variant>
        <vt:lpstr>Title</vt:lpstr>
      </vt:variant>
      <vt:variant>
        <vt:i4>1</vt:i4>
      </vt:variant>
    </vt:vector>
  </HeadingPairs>
  <TitlesOfParts>
    <vt:vector size="1" baseType="lpstr">
      <vt:lpstr/>
    </vt:vector>
  </TitlesOfParts>
  <Company>JACoW</Company>
  <LinksUpToDate>false</LinksUpToDate>
  <CharactersWithSpaces>26859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JACoW Style Guide - Full Version</dc:subject>
  <dc:creator>Chrin Jan</dc:creator>
  <cp:keywords>v2026-02-10</cp:keywords>
  <cp:lastModifiedBy>Apsimon, Robert</cp:lastModifiedBy>
  <cp:revision>7</cp:revision>
  <cp:lastPrinted>2025-04-28T06:38:00Z</cp:lastPrinted>
  <dcterms:created xsi:type="dcterms:W3CDTF">2026-05-07T13:59:00Z</dcterms:created>
  <dcterms:modified xsi:type="dcterms:W3CDTF">2026-05-13T09:22:00Z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corded date">
    <vt:lpwstr>29 April 2025</vt:lpwstr>
  </property>
</Properties>
</file>